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F2658C" w14:textId="0AF720B1" w:rsidR="001F076A" w:rsidRDefault="00A00820">
      <w:pPr>
        <w:rPr>
          <w:rFonts w:ascii="Aptos SemiBold" w:hAnsi="Aptos SemiBold"/>
          <w:b/>
        </w:rPr>
      </w:pPr>
      <w:r>
        <w:rPr>
          <w:rFonts w:ascii="Aptos SemiBold" w:hAnsi="Aptos SemiBold"/>
          <w:b/>
          <w:noProof/>
          <w:lang w:eastAsia="fr-FR"/>
        </w:rPr>
        <w:drawing>
          <wp:anchor distT="0" distB="0" distL="114300" distR="114300" simplePos="0" relativeHeight="251656704" behindDoc="0" locked="0" layoutInCell="1" allowOverlap="1" wp14:anchorId="788191AF" wp14:editId="62275387">
            <wp:simplePos x="0" y="0"/>
            <wp:positionH relativeFrom="column">
              <wp:posOffset>4928870</wp:posOffset>
            </wp:positionH>
            <wp:positionV relativeFrom="paragraph">
              <wp:posOffset>222885</wp:posOffset>
            </wp:positionV>
            <wp:extent cx="951865" cy="948690"/>
            <wp:effectExtent l="0" t="0" r="635"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00px-Logo_Macif.svg.pn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2"/>
                        </a:ext>
                      </a:extLst>
                    </a:blip>
                    <a:stretch>
                      <a:fillRect/>
                    </a:stretch>
                  </pic:blipFill>
                  <pic:spPr>
                    <a:xfrm>
                      <a:off x="0" y="0"/>
                      <a:ext cx="951865" cy="948690"/>
                    </a:xfrm>
                    <a:prstGeom prst="rect">
                      <a:avLst/>
                    </a:prstGeom>
                  </pic:spPr>
                </pic:pic>
              </a:graphicData>
            </a:graphic>
            <wp14:sizeRelH relativeFrom="margin">
              <wp14:pctWidth>0</wp14:pctWidth>
            </wp14:sizeRelH>
            <wp14:sizeRelV relativeFrom="margin">
              <wp14:pctHeight>0</wp14:pctHeight>
            </wp14:sizeRelV>
          </wp:anchor>
        </w:drawing>
      </w:r>
      <w:r w:rsidR="001F076A">
        <w:rPr>
          <w:rFonts w:ascii="Aptos SemiBold" w:hAnsi="Aptos SemiBold"/>
          <w:b/>
          <w:noProof/>
          <w:lang w:eastAsia="fr-FR"/>
        </w:rPr>
        <w:drawing>
          <wp:anchor distT="0" distB="0" distL="114300" distR="114300" simplePos="0" relativeHeight="251657728" behindDoc="0" locked="0" layoutInCell="1" allowOverlap="1" wp14:anchorId="1128C780" wp14:editId="4DD5503D">
            <wp:simplePos x="0" y="0"/>
            <wp:positionH relativeFrom="margin">
              <wp:posOffset>-171450</wp:posOffset>
            </wp:positionH>
            <wp:positionV relativeFrom="paragraph">
              <wp:posOffset>149225</wp:posOffset>
            </wp:positionV>
            <wp:extent cx="4323080" cy="1172845"/>
            <wp:effectExtent l="0" t="0" r="0" b="825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 TET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23080" cy="1172845"/>
                    </a:xfrm>
                    <a:prstGeom prst="rect">
                      <a:avLst/>
                    </a:prstGeom>
                  </pic:spPr>
                </pic:pic>
              </a:graphicData>
            </a:graphic>
          </wp:anchor>
        </w:drawing>
      </w:r>
    </w:p>
    <w:p w14:paraId="737C2DA4" w14:textId="580A45C6" w:rsidR="00A00820" w:rsidRDefault="00A00820">
      <w:pPr>
        <w:rPr>
          <w:rFonts w:ascii="Aptos SemiBold" w:hAnsi="Aptos SemiBold"/>
          <w:b/>
        </w:rPr>
      </w:pPr>
    </w:p>
    <w:p w14:paraId="36994BEF" w14:textId="626879D2" w:rsidR="00A00820" w:rsidRDefault="00A00820">
      <w:pPr>
        <w:rPr>
          <w:rFonts w:ascii="Aptos SemiBold" w:hAnsi="Aptos SemiBold"/>
          <w:b/>
        </w:rPr>
      </w:pPr>
    </w:p>
    <w:p w14:paraId="453E5417" w14:textId="06F3DDA4" w:rsidR="00A00820" w:rsidRDefault="00A00820">
      <w:pPr>
        <w:rPr>
          <w:rFonts w:ascii="Aptos SemiBold" w:hAnsi="Aptos SemiBold"/>
          <w:b/>
        </w:rPr>
      </w:pPr>
    </w:p>
    <w:p w14:paraId="6BEDC0CC" w14:textId="07459A37" w:rsidR="00A00820" w:rsidRDefault="00A00820">
      <w:pPr>
        <w:rPr>
          <w:rFonts w:ascii="Aptos SemiBold" w:hAnsi="Aptos SemiBold"/>
          <w:b/>
        </w:rPr>
      </w:pPr>
    </w:p>
    <w:p w14:paraId="5A86AC22" w14:textId="2F3A998D" w:rsidR="0025752B" w:rsidRPr="00B255DD" w:rsidRDefault="0025752B">
      <w:pPr>
        <w:rPr>
          <w:rFonts w:ascii="Aptos SemiBold" w:hAnsi="Aptos SemiBold"/>
          <w:b/>
        </w:rPr>
      </w:pPr>
    </w:p>
    <w:tbl>
      <w:tblPr>
        <w:tblStyle w:val="Grilledutableau"/>
        <w:tblW w:w="9322"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61"/>
      </w:tblGrid>
      <w:tr w:rsidR="004B6C7F" w:rsidRPr="004B6C7F" w14:paraId="201E34E5" w14:textId="77777777" w:rsidTr="004B6C7F">
        <w:tc>
          <w:tcPr>
            <w:tcW w:w="4661" w:type="dxa"/>
          </w:tcPr>
          <w:p w14:paraId="58686428" w14:textId="18550001" w:rsidR="00AB63C8" w:rsidRDefault="007A7662" w:rsidP="004B6C7F">
            <w:pPr>
              <w:jc w:val="both"/>
              <w:rPr>
                <w:rFonts w:ascii="Aptos ExtraBold" w:hAnsi="Aptos ExtraBold" w:cs="Segoe UI"/>
                <w:b/>
                <w:color w:val="ED7D31" w:themeColor="accent2"/>
                <w:sz w:val="24"/>
                <w:szCs w:val="24"/>
              </w:rPr>
            </w:pPr>
            <w:r>
              <w:rPr>
                <w:rFonts w:ascii="Aptos ExtraBold" w:hAnsi="Aptos ExtraBold" w:cs="Segoe UI"/>
                <w:b/>
                <w:color w:val="ED7D31" w:themeColor="accent2"/>
                <w:sz w:val="24"/>
                <w:szCs w:val="24"/>
              </w:rPr>
              <w:t># 024</w:t>
            </w:r>
          </w:p>
          <w:p w14:paraId="51954AC6" w14:textId="53A768B2" w:rsidR="00B62303" w:rsidRPr="004B6C7F" w:rsidRDefault="00B62303" w:rsidP="004B6C7F">
            <w:pPr>
              <w:jc w:val="both"/>
              <w:rPr>
                <w:rFonts w:ascii="Aptos ExtraBold" w:hAnsi="Aptos ExtraBold" w:cs="Segoe UI"/>
                <w:b/>
                <w:color w:val="ED7D31" w:themeColor="accent2"/>
                <w:sz w:val="24"/>
                <w:szCs w:val="24"/>
              </w:rPr>
            </w:pPr>
          </w:p>
        </w:tc>
        <w:tc>
          <w:tcPr>
            <w:tcW w:w="4661" w:type="dxa"/>
          </w:tcPr>
          <w:p w14:paraId="180F5AE1" w14:textId="4406BC03" w:rsidR="004B6C7F" w:rsidRPr="004B6C7F" w:rsidRDefault="00AB63C8" w:rsidP="004B6C7F">
            <w:pPr>
              <w:jc w:val="right"/>
              <w:rPr>
                <w:rFonts w:ascii="Aptos ExtraBold" w:hAnsi="Aptos ExtraBold" w:cs="Segoe UI"/>
                <w:b/>
                <w:color w:val="ED7D31" w:themeColor="accent2"/>
                <w:sz w:val="24"/>
                <w:szCs w:val="24"/>
              </w:rPr>
            </w:pPr>
            <w:r>
              <w:rPr>
                <w:rFonts w:ascii="Aptos ExtraBold" w:hAnsi="Aptos ExtraBold" w:cs="Segoe UI"/>
                <w:b/>
                <w:color w:val="ED7D31" w:themeColor="accent2"/>
                <w:sz w:val="24"/>
                <w:szCs w:val="24"/>
              </w:rPr>
              <w:fldChar w:fldCharType="begin"/>
            </w:r>
            <w:r>
              <w:rPr>
                <w:rFonts w:ascii="Aptos ExtraBold" w:hAnsi="Aptos ExtraBold" w:cs="Segoe UI"/>
                <w:b/>
                <w:color w:val="ED7D31" w:themeColor="accent2"/>
                <w:sz w:val="24"/>
                <w:szCs w:val="24"/>
              </w:rPr>
              <w:instrText xml:space="preserve"> TIME \@ "dddd d MMMM yyyy" </w:instrText>
            </w:r>
            <w:r>
              <w:rPr>
                <w:rFonts w:ascii="Aptos ExtraBold" w:hAnsi="Aptos ExtraBold" w:cs="Segoe UI"/>
                <w:b/>
                <w:color w:val="ED7D31" w:themeColor="accent2"/>
                <w:sz w:val="24"/>
                <w:szCs w:val="24"/>
              </w:rPr>
              <w:fldChar w:fldCharType="separate"/>
            </w:r>
            <w:r w:rsidR="007A7662">
              <w:rPr>
                <w:rFonts w:ascii="Aptos ExtraBold" w:hAnsi="Aptos ExtraBold" w:cs="Segoe UI"/>
                <w:b/>
                <w:noProof/>
                <w:color w:val="ED7D31" w:themeColor="accent2"/>
                <w:sz w:val="24"/>
                <w:szCs w:val="24"/>
              </w:rPr>
              <w:t>lundi 17 mars 2025</w:t>
            </w:r>
            <w:r>
              <w:rPr>
                <w:rFonts w:ascii="Aptos ExtraBold" w:hAnsi="Aptos ExtraBold" w:cs="Segoe UI"/>
                <w:b/>
                <w:color w:val="ED7D31" w:themeColor="accent2"/>
                <w:sz w:val="24"/>
                <w:szCs w:val="24"/>
              </w:rPr>
              <w:fldChar w:fldCharType="end"/>
            </w:r>
          </w:p>
        </w:tc>
      </w:tr>
      <w:tr w:rsidR="004B6C7F" w:rsidRPr="004B6C7F" w14:paraId="314A661B" w14:textId="77777777" w:rsidTr="004B6C7F">
        <w:tc>
          <w:tcPr>
            <w:tcW w:w="4661" w:type="dxa"/>
          </w:tcPr>
          <w:p w14:paraId="0FE58214" w14:textId="0C3478AC" w:rsidR="004B6C7F" w:rsidRPr="004B6C7F" w:rsidRDefault="004B6C7F" w:rsidP="004B6C7F">
            <w:pPr>
              <w:jc w:val="both"/>
              <w:rPr>
                <w:rFonts w:ascii="Aptos ExtraBold" w:hAnsi="Aptos ExtraBold" w:cs="Segoe UI"/>
                <w:b/>
                <w:color w:val="4472C4" w:themeColor="accent5"/>
                <w:sz w:val="10"/>
                <w:szCs w:val="10"/>
              </w:rPr>
            </w:pPr>
          </w:p>
        </w:tc>
        <w:tc>
          <w:tcPr>
            <w:tcW w:w="4661" w:type="dxa"/>
          </w:tcPr>
          <w:p w14:paraId="72BBFF9F" w14:textId="6C5EFF01" w:rsidR="004B6C7F" w:rsidRPr="004B6C7F" w:rsidRDefault="004B6C7F" w:rsidP="004B6C7F">
            <w:pPr>
              <w:jc w:val="right"/>
              <w:rPr>
                <w:rFonts w:ascii="Aptos ExtraBold" w:hAnsi="Aptos ExtraBold" w:cs="Segoe UI"/>
                <w:b/>
                <w:color w:val="4472C4" w:themeColor="accent5"/>
                <w:sz w:val="10"/>
                <w:szCs w:val="10"/>
              </w:rPr>
            </w:pPr>
          </w:p>
        </w:tc>
      </w:tr>
      <w:tr w:rsidR="0062240E" w:rsidRPr="004B6C7F" w14:paraId="0FC4F365" w14:textId="77777777" w:rsidTr="004B6C7F">
        <w:tc>
          <w:tcPr>
            <w:tcW w:w="4661" w:type="dxa"/>
          </w:tcPr>
          <w:p w14:paraId="38D0AF9B" w14:textId="160BE65B" w:rsidR="0062240E" w:rsidRPr="004B6C7F" w:rsidRDefault="0062240E" w:rsidP="004B6C7F">
            <w:pPr>
              <w:jc w:val="both"/>
              <w:rPr>
                <w:rFonts w:ascii="Aptos ExtraBold" w:hAnsi="Aptos ExtraBold" w:cs="Segoe UI"/>
                <w:b/>
                <w:color w:val="4472C4" w:themeColor="accent5"/>
                <w:sz w:val="10"/>
                <w:szCs w:val="10"/>
              </w:rPr>
            </w:pPr>
          </w:p>
        </w:tc>
        <w:tc>
          <w:tcPr>
            <w:tcW w:w="4661" w:type="dxa"/>
          </w:tcPr>
          <w:p w14:paraId="38EDA44D" w14:textId="28F45CC4" w:rsidR="0062240E" w:rsidRPr="004B6C7F" w:rsidRDefault="0062240E" w:rsidP="004B6C7F">
            <w:pPr>
              <w:jc w:val="right"/>
              <w:rPr>
                <w:rFonts w:ascii="Aptos ExtraBold" w:hAnsi="Aptos ExtraBold" w:cs="Segoe UI"/>
                <w:b/>
                <w:color w:val="4472C4" w:themeColor="accent5"/>
                <w:sz w:val="10"/>
                <w:szCs w:val="10"/>
              </w:rPr>
            </w:pPr>
          </w:p>
        </w:tc>
      </w:tr>
      <w:tr w:rsidR="0062240E" w:rsidRPr="004B6C7F" w14:paraId="1E0DD3BE" w14:textId="77777777" w:rsidTr="004B6C7F">
        <w:tc>
          <w:tcPr>
            <w:tcW w:w="4661" w:type="dxa"/>
          </w:tcPr>
          <w:p w14:paraId="3AEB761D" w14:textId="618492BD" w:rsidR="0062240E" w:rsidRPr="004B6C7F" w:rsidRDefault="0062240E" w:rsidP="004B6C7F">
            <w:pPr>
              <w:jc w:val="both"/>
              <w:rPr>
                <w:rFonts w:ascii="Aptos ExtraBold" w:hAnsi="Aptos ExtraBold" w:cs="Segoe UI"/>
                <w:b/>
                <w:color w:val="4472C4" w:themeColor="accent5"/>
                <w:sz w:val="10"/>
                <w:szCs w:val="10"/>
              </w:rPr>
            </w:pPr>
          </w:p>
        </w:tc>
        <w:tc>
          <w:tcPr>
            <w:tcW w:w="4661" w:type="dxa"/>
          </w:tcPr>
          <w:p w14:paraId="761EFE47" w14:textId="09B654BD" w:rsidR="0062240E" w:rsidRPr="004B6C7F" w:rsidRDefault="0062240E" w:rsidP="004B6C7F">
            <w:pPr>
              <w:jc w:val="right"/>
              <w:rPr>
                <w:rFonts w:ascii="Aptos ExtraBold" w:hAnsi="Aptos ExtraBold" w:cs="Segoe UI"/>
                <w:b/>
                <w:color w:val="4472C4" w:themeColor="accent5"/>
                <w:sz w:val="10"/>
                <w:szCs w:val="10"/>
              </w:rPr>
            </w:pPr>
          </w:p>
        </w:tc>
      </w:tr>
    </w:tbl>
    <w:p w14:paraId="26163BC8" w14:textId="49923E33" w:rsidR="00736FDC" w:rsidRPr="00C248B6" w:rsidRDefault="007A7662" w:rsidP="00C248B6">
      <w:pPr>
        <w:rPr>
          <w:rFonts w:ascii="Aptos" w:hAnsi="Aptos" w:cs="Segoe UI"/>
          <w:sz w:val="20"/>
          <w:szCs w:val="20"/>
        </w:rPr>
        <w:sectPr w:rsidR="00736FDC" w:rsidRPr="00C248B6" w:rsidSect="00736FDC">
          <w:footerReference w:type="default" r:id="rId14"/>
          <w:type w:val="continuous"/>
          <w:pgSz w:w="11900" w:h="16820"/>
          <w:pgMar w:top="663" w:right="1418" w:bottom="1650" w:left="1418" w:header="709" w:footer="168" w:gutter="0"/>
          <w:cols w:space="227"/>
          <w:titlePg/>
          <w:docGrid w:linePitch="360"/>
        </w:sectPr>
      </w:pPr>
      <w:r>
        <w:rPr>
          <w:rFonts w:ascii="Aptos" w:hAnsi="Aptos" w:cs="Segoe UI"/>
          <w:noProof/>
          <w:sz w:val="20"/>
          <w:szCs w:val="20"/>
          <w:lang w:eastAsia="fr-FR"/>
        </w:rPr>
        <mc:AlternateContent>
          <mc:Choice Requires="wps">
            <w:drawing>
              <wp:anchor distT="0" distB="0" distL="114300" distR="114300" simplePos="0" relativeHeight="251653120" behindDoc="0" locked="0" layoutInCell="1" allowOverlap="1" wp14:anchorId="29A8C952" wp14:editId="214D0704">
                <wp:simplePos x="0" y="0"/>
                <wp:positionH relativeFrom="column">
                  <wp:posOffset>2861945</wp:posOffset>
                </wp:positionH>
                <wp:positionV relativeFrom="paragraph">
                  <wp:posOffset>26670</wp:posOffset>
                </wp:positionV>
                <wp:extent cx="3095625" cy="7372350"/>
                <wp:effectExtent l="0" t="0" r="9525" b="0"/>
                <wp:wrapNone/>
                <wp:docPr id="6" name="Zone de texte 6"/>
                <wp:cNvGraphicFramePr/>
                <a:graphic xmlns:a="http://schemas.openxmlformats.org/drawingml/2006/main">
                  <a:graphicData uri="http://schemas.microsoft.com/office/word/2010/wordprocessingShape">
                    <wps:wsp>
                      <wps:cNvSpPr txBox="1"/>
                      <wps:spPr>
                        <a:xfrm>
                          <a:off x="0" y="0"/>
                          <a:ext cx="3095625" cy="7372350"/>
                        </a:xfrm>
                        <a:prstGeom prst="rect">
                          <a:avLst/>
                        </a:prstGeom>
                        <a:solidFill>
                          <a:schemeClr val="lt1"/>
                        </a:solidFill>
                        <a:ln w="6350">
                          <a:noFill/>
                        </a:ln>
                      </wps:spPr>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A8C952" id="_x0000_t202" coordsize="21600,21600" o:spt="202" path="m,l,21600r21600,l21600,xe">
                <v:stroke joinstyle="miter"/>
                <v:path gradientshapeok="t" o:connecttype="rect"/>
              </v:shapetype>
              <v:shape id="Zone de texte 6" o:spid="_x0000_s1026" type="#_x0000_t202" style="position:absolute;margin-left:225.35pt;margin-top:2.1pt;width:243.75pt;height:5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wJUQIAAJQEAAAOAAAAZHJzL2Uyb0RvYy54bWysVE1PGzEQvVfqf7B8L5sEEkqUDUpBVJUQ&#10;IEGF1Jvj9SZWvR5jO9mlv55nbwIp7anqxTvjGc/HezM7O+8aw7bKB0225MOjAWfKSqq0XZX8+8PV&#10;p8+chShsJQxZVfJnFfj5/OOHWeumakRrMpXyDEFsmLau5OsY3bQoglyrRoQjcsrCWJNvRITqV0Xl&#10;RYvojSlGg8GkaMlXzpNUIeD2sjfyeY5f10rG27oOKjJTctQW8+nzuUxnMZ+J6coLt9ZyV4b4hyoa&#10;oS2Svoa6FFGwjdd/hGq09BSojkeSmoLqWkuVe0A3w8G7bu7XwqncC8AJ7hWm8P/CypvtnWe6KvmE&#10;MysaUPQDRLFKsai6qNgkQdS6MIXnvYNv7L5QB6r39wGXqfOu9k36oicGO8B+fgUYkZjE5fHgbDwZ&#10;jTmTsJ0en46Ox5mC4u258yF+VdSwJJTcg8EMrNheh4hS4Lp3SdkCGV1daWOykqZGXRjPtgJ8m5iL&#10;xIvfvIxlLdpNqdMjS+l5H9lYJEjN9k0lyWj7U1UP3bLLKKGtoJ4O2l9S9QxUPPWjFZy80qj8WoR4&#10;JzxmCS+wH/EWR20ImWkncbYm/+tv98kfFMPKWYvZLHl42givODPfLMg/G56cpGHOysn4dATFH1qW&#10;hxa7aS4IcAxRupNZTP7R7MXaU/OINVqkrDAJK5G75HEvXsR+Y7CGUi0W2Qnj60S8tvdOptAJycTL&#10;Q/covNuRlybohvZTLKbvOOx9ew4Wm0i1zgQn1HtUd2Rg9DPvuzVNu3WoZ6+3n8n8BQAA//8DAFBL&#10;AwQUAAYACAAAACEANrD0JuEAAAAKAQAADwAAAGRycy9kb3ducmV2LnhtbEyPzU7DMBCE70i8g7VI&#10;XBB1mpC2hDgVQkAlbjT8iJsbL0lEvI5iNwlvz3KC26zm0+xMvp1tJ0YcfOtIwXIRgUCqnGmpVvBS&#10;PlxuQPigyejOESr4Rg/b4vQk15lxEz3juA+14BDymVbQhNBnUvqqQav9wvVI7H26werA51BLM+iJ&#10;w20n4yhaSatb4g+N7vGuweprf7QKPi7q9yc/P75OSZr097uxXL+ZUqnzs/n2BkTAOfzB8Fufq0PB&#10;nQ7uSMaLTsFVGq0ZZRGDYP862bA4MLhcpTHIIpf/JxQ/AAAA//8DAFBLAQItABQABgAIAAAAIQC2&#10;gziS/gAAAOEBAAATAAAAAAAAAAAAAAAAAAAAAABbQ29udGVudF9UeXBlc10ueG1sUEsBAi0AFAAG&#10;AAgAAAAhADj9If/WAAAAlAEAAAsAAAAAAAAAAAAAAAAALwEAAF9yZWxzLy5yZWxzUEsBAi0AFAAG&#10;AAgAAAAhAPs9PAlRAgAAlAQAAA4AAAAAAAAAAAAAAAAALgIAAGRycy9lMm9Eb2MueG1sUEsBAi0A&#10;FAAGAAgAAAAhADaw9CbhAAAACgEAAA8AAAAAAAAAAAAAAAAAqwQAAGRycy9kb3ducmV2LnhtbFBL&#10;BQYAAAAABAAEAPMAAAC5BQAAAAA=&#10;" fillcolor="white [3201]" stroked="f" strokeweight=".5pt">
                <v:textbox>
                  <w:txbxContent/>
                </v:textbox>
              </v:shape>
            </w:pict>
          </mc:Fallback>
        </mc:AlternateContent>
      </w:r>
      <w:r>
        <w:rPr>
          <w:rFonts w:ascii="Aptos" w:hAnsi="Aptos" w:cs="Segoe UI"/>
          <w:noProof/>
          <w:sz w:val="20"/>
          <w:szCs w:val="20"/>
          <w:lang w:eastAsia="fr-FR"/>
        </w:rPr>
        <mc:AlternateContent>
          <mc:Choice Requires="wps">
            <w:drawing>
              <wp:anchor distT="0" distB="0" distL="114300" distR="114300" simplePos="0" relativeHeight="251651072" behindDoc="0" locked="0" layoutInCell="1" allowOverlap="1" wp14:anchorId="6068B95F" wp14:editId="252C148C">
                <wp:simplePos x="0" y="0"/>
                <wp:positionH relativeFrom="column">
                  <wp:posOffset>-167004</wp:posOffset>
                </wp:positionH>
                <wp:positionV relativeFrom="paragraph">
                  <wp:posOffset>26670</wp:posOffset>
                </wp:positionV>
                <wp:extent cx="3028950" cy="737235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3028950" cy="7372350"/>
                        </a:xfrm>
                        <a:prstGeom prst="rect">
                          <a:avLst/>
                        </a:prstGeom>
                        <a:solidFill>
                          <a:schemeClr val="lt1"/>
                        </a:solidFill>
                        <a:ln w="6350">
                          <a:noFill/>
                        </a:ln>
                      </wps:spPr>
                      <wps:txbx id="1">
                        <w:txbxContent>
                          <w:p w14:paraId="0944AFA7" w14:textId="77777777" w:rsidR="007A7662" w:rsidRPr="007A7662" w:rsidRDefault="007A7662" w:rsidP="007A7662">
                            <w:pPr>
                              <w:spacing w:after="0"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b/>
                                <w:bCs/>
                                <w:color w:val="0070C0"/>
                                <w:sz w:val="36"/>
                                <w:szCs w:val="36"/>
                                <w:lang w:eastAsia="fr-FR"/>
                              </w:rPr>
                              <w:t>L’engagement citoyen et le mécénat de compétences:</w:t>
                            </w:r>
                            <w:r w:rsidRPr="007A7662">
                              <w:rPr>
                                <w:rFonts w:ascii="Times New Roman" w:eastAsia="Times New Roman" w:hAnsi="Times New Roman" w:cs="Times New Roman"/>
                                <w:sz w:val="36"/>
                                <w:szCs w:val="36"/>
                                <w:lang w:eastAsia="fr-FR"/>
                              </w:rPr>
                              <w:t xml:space="preserve"> </w:t>
                            </w:r>
                          </w:p>
                          <w:p w14:paraId="2B135A7C" w14:textId="77777777" w:rsidR="007A7662" w:rsidRPr="007A7662" w:rsidRDefault="007A7662" w:rsidP="007A7662">
                            <w:pPr>
                              <w:spacing w:after="0"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b/>
                                <w:bCs/>
                                <w:color w:val="FF9900"/>
                                <w:sz w:val="28"/>
                                <w:szCs w:val="28"/>
                                <w:lang w:eastAsia="fr-FR"/>
                              </w:rPr>
                              <w:t>Des opportunités pour les agents territoriaux</w:t>
                            </w:r>
                          </w:p>
                          <w:p w14:paraId="2082FF18" w14:textId="77777777" w:rsidR="007A7662" w:rsidRPr="007A7662" w:rsidRDefault="007A7662" w:rsidP="007A7662">
                            <w:pPr>
                              <w:shd w:val="clear" w:color="auto" w:fill="DEEAF6" w:themeFill="accent1" w:themeFillTint="33"/>
                              <w:spacing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i/>
                                <w:iCs/>
                                <w:sz w:val="24"/>
                                <w:szCs w:val="24"/>
                                <w:lang w:eastAsia="fr-FR"/>
                              </w:rPr>
                              <w:t>Dans le cadre de la valorisation de l'engagement citoyen, le Gouvernement a mis en place des dispositifs innovants visant à renforcer le lien entre le service public et les associations. Ces mesures, dont le congé d'engagement citoyen et l'expérimentation du mécénat de compétences, offrent aux agents territoriaux l'occasion de contribuer activement à des projets d'intérêt général, tout en enrichissant leur parcours professionnel.</w:t>
                            </w:r>
                          </w:p>
                          <w:p w14:paraId="5C811076"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color w:val="002060"/>
                                <w:sz w:val="24"/>
                                <w:szCs w:val="24"/>
                                <w:lang w:eastAsia="fr-FR"/>
                              </w:rPr>
                              <w:t xml:space="preserve">Le </w:t>
                            </w:r>
                            <w:r w:rsidRPr="007A7662">
                              <w:rPr>
                                <w:rFonts w:ascii="Times New Roman" w:eastAsia="Times New Roman" w:hAnsi="Times New Roman" w:cs="Times New Roman"/>
                                <w:b/>
                                <w:bCs/>
                                <w:color w:val="002060"/>
                                <w:sz w:val="24"/>
                                <w:szCs w:val="24"/>
                                <w:lang w:eastAsia="fr-FR"/>
                              </w:rPr>
                              <w:t>congé d'engagement citoyen</w:t>
                            </w:r>
                            <w:r w:rsidRPr="007A7662">
                              <w:rPr>
                                <w:rFonts w:ascii="Times New Roman" w:eastAsia="Times New Roman" w:hAnsi="Times New Roman" w:cs="Times New Roman"/>
                                <w:color w:val="002060"/>
                                <w:sz w:val="24"/>
                                <w:szCs w:val="24"/>
                                <w:lang w:eastAsia="fr-FR"/>
                              </w:rPr>
                              <w:t xml:space="preserve">, institué par l'ordonnance n° 2021-1574 du 24 novembre 2021 et intégré au code général de la fonction publique, permet aux agents de s'investir dans des missions associatives sans mettre leur carrière en péril. Ce dispositif leur offre un temps dédié pour participer à </w:t>
                            </w:r>
                            <w:hyperlink r:id="rId15" w:history="1">
                              <w:r w:rsidRPr="007A7662">
                                <w:rPr>
                                  <w:rFonts w:ascii="Times New Roman" w:eastAsia="Times New Roman" w:hAnsi="Times New Roman" w:cs="Times New Roman"/>
                                  <w:color w:val="0000FF"/>
                                  <w:sz w:val="24"/>
                                  <w:szCs w:val="24"/>
                                  <w:u w:val="single"/>
                                  <w:lang w:eastAsia="fr-FR"/>
                                </w:rPr>
                                <w:t>des actions sociales, culturelles ou environnementales,</w:t>
                              </w:r>
                            </w:hyperlink>
                            <w:r w:rsidRPr="007A7662">
                              <w:rPr>
                                <w:rFonts w:ascii="Times New Roman" w:eastAsia="Times New Roman" w:hAnsi="Times New Roman" w:cs="Times New Roman"/>
                                <w:sz w:val="24"/>
                                <w:szCs w:val="24"/>
                                <w:lang w:eastAsia="fr-FR"/>
                              </w:rPr>
                              <w:t xml:space="preserve"> </w:t>
                            </w:r>
                            <w:r w:rsidRPr="007A7662">
                              <w:rPr>
                                <w:rFonts w:ascii="Times New Roman" w:eastAsia="Times New Roman" w:hAnsi="Times New Roman" w:cs="Times New Roman"/>
                                <w:color w:val="002060"/>
                                <w:sz w:val="24"/>
                                <w:szCs w:val="24"/>
                                <w:lang w:eastAsia="fr-FR"/>
                              </w:rPr>
                              <w:t>renforçant ainsi le dialogue entre l'administration et la société civile.</w:t>
                            </w:r>
                          </w:p>
                          <w:p w14:paraId="5E61696A"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Parallèlement, l'expérimentation du </w:t>
                            </w:r>
                            <w:r w:rsidRPr="007A7662">
                              <w:rPr>
                                <w:rFonts w:ascii="Times New Roman" w:eastAsia="Times New Roman" w:hAnsi="Times New Roman" w:cs="Times New Roman"/>
                                <w:b/>
                                <w:bCs/>
                                <w:color w:val="002060"/>
                                <w:sz w:val="24"/>
                                <w:szCs w:val="24"/>
                                <w:lang w:eastAsia="fr-FR"/>
                              </w:rPr>
                              <w:t>mécénat de compétences</w:t>
                            </w:r>
                            <w:r w:rsidRPr="007A7662">
                              <w:rPr>
                                <w:rFonts w:ascii="Times New Roman" w:eastAsia="Times New Roman" w:hAnsi="Times New Roman" w:cs="Times New Roman"/>
                                <w:color w:val="002060"/>
                                <w:sz w:val="24"/>
                                <w:szCs w:val="24"/>
                                <w:lang w:eastAsia="fr-FR"/>
                              </w:rPr>
                              <w:t xml:space="preserve"> (encadrée par la loi n° 2022-217 du 21 février 2022 et le décret n° 2022-1682 du 27 décembre 2022) autorise la mise à disposition temporaire d'agents publics au service des associations ou d'autres acteurs d'intérêt général. Pendant cette période, </w:t>
                            </w:r>
                            <w:r w:rsidRPr="007A7662">
                              <w:rPr>
                                <w:rFonts w:ascii="Times New Roman" w:eastAsia="Times New Roman" w:hAnsi="Times New Roman" w:cs="Times New Roman"/>
                                <w:b/>
                                <w:bCs/>
                                <w:color w:val="002060"/>
                                <w:sz w:val="24"/>
                                <w:szCs w:val="24"/>
                                <w:u w:val="single"/>
                                <w:lang w:eastAsia="fr-FR"/>
                              </w:rPr>
                              <w:t>les agents continuent</w:t>
                            </w:r>
                            <w:r w:rsidRPr="007A7662">
                              <w:rPr>
                                <w:rFonts w:ascii="Times New Roman" w:eastAsia="Times New Roman" w:hAnsi="Times New Roman" w:cs="Times New Roman"/>
                                <w:color w:val="002060"/>
                                <w:sz w:val="24"/>
                                <w:szCs w:val="24"/>
                                <w:lang w:eastAsia="fr-FR"/>
                              </w:rPr>
                              <w:t xml:space="preserve"> </w:t>
                            </w:r>
                            <w:r w:rsidRPr="007A7662">
                              <w:rPr>
                                <w:rFonts w:ascii="Times New Roman" w:eastAsia="Times New Roman" w:hAnsi="Times New Roman" w:cs="Times New Roman"/>
                                <w:b/>
                                <w:bCs/>
                                <w:color w:val="002060"/>
                                <w:sz w:val="24"/>
                                <w:szCs w:val="24"/>
                                <w:lang w:eastAsia="fr-FR"/>
                              </w:rPr>
                              <w:t>d'être rémunérés par leur administration</w:t>
                            </w:r>
                            <w:r w:rsidRPr="007A7662">
                              <w:rPr>
                                <w:rFonts w:ascii="Times New Roman" w:eastAsia="Times New Roman" w:hAnsi="Times New Roman" w:cs="Times New Roman"/>
                                <w:color w:val="002060"/>
                                <w:sz w:val="24"/>
                                <w:szCs w:val="24"/>
                                <w:lang w:eastAsia="fr-FR"/>
                              </w:rPr>
                              <w:t>, tout en apportant leur expertise aux projets qui en bénéficient. Ce dispositif vise à pallier les difficultés de recrutement de dirigeants bénévoles dans le secteur associatif et à dynamiser les actions locales par l'apport de compétences professionnelles pointues.</w:t>
                            </w:r>
                          </w:p>
                          <w:p w14:paraId="5A15EC96"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w:t>
                            </w:r>
                            <w:r w:rsidRPr="007A7662">
                              <w:rPr>
                                <w:rFonts w:ascii="Times New Roman" w:eastAsia="Times New Roman" w:hAnsi="Times New Roman" w:cs="Times New Roman"/>
                                <w:sz w:val="24"/>
                                <w:szCs w:val="24"/>
                                <w:lang w:eastAsia="fr-FR"/>
                              </w:rPr>
                              <w:t xml:space="preserve"> </w:t>
                            </w:r>
                            <w:hyperlink r:id="rId16" w:history="1">
                              <w:r w:rsidRPr="007A7662">
                                <w:rPr>
                                  <w:rFonts w:ascii="Times New Roman" w:eastAsia="Times New Roman" w:hAnsi="Times New Roman" w:cs="Times New Roman"/>
                                  <w:color w:val="0000FF"/>
                                  <w:sz w:val="24"/>
                                  <w:szCs w:val="24"/>
                                  <w:u w:val="single"/>
                                  <w:lang w:eastAsia="fr-FR"/>
                                </w:rPr>
                                <w:t>circulaire du 19 juillet 2023</w:t>
                              </w:r>
                            </w:hyperlink>
                            <w:r w:rsidRPr="007A7662">
                              <w:rPr>
                                <w:rFonts w:ascii="Times New Roman" w:eastAsia="Times New Roman" w:hAnsi="Times New Roman" w:cs="Times New Roman"/>
                                <w:sz w:val="24"/>
                                <w:szCs w:val="24"/>
                                <w:lang w:eastAsia="fr-FR"/>
                              </w:rPr>
                              <w:t xml:space="preserve"> </w:t>
                            </w:r>
                            <w:r w:rsidRPr="007A7662">
                              <w:rPr>
                                <w:rFonts w:ascii="Times New Roman" w:eastAsia="Times New Roman" w:hAnsi="Times New Roman" w:cs="Times New Roman"/>
                                <w:color w:val="002060"/>
                                <w:sz w:val="24"/>
                                <w:szCs w:val="24"/>
                                <w:lang w:eastAsia="fr-FR"/>
                              </w:rPr>
                              <w:t xml:space="preserve">précise que les modalités de l'expérimentation du mécénat de compétences s'appliquent aux fonctions publiques d'État </w:t>
                            </w:r>
                            <w:r w:rsidRPr="007A7662">
                              <w:rPr>
                                <w:rFonts w:ascii="Times New Roman" w:eastAsia="Times New Roman" w:hAnsi="Times New Roman" w:cs="Times New Roman"/>
                                <w:b/>
                                <w:bCs/>
                                <w:color w:val="002060"/>
                                <w:sz w:val="24"/>
                                <w:szCs w:val="24"/>
                                <w:u w:val="single"/>
                                <w:lang w:eastAsia="fr-FR"/>
                              </w:rPr>
                              <w:t>et</w:t>
                            </w:r>
                            <w:r w:rsidRPr="007A7662">
                              <w:rPr>
                                <w:rFonts w:ascii="Times New Roman" w:eastAsia="Times New Roman" w:hAnsi="Times New Roman" w:cs="Times New Roman"/>
                                <w:color w:val="002060"/>
                                <w:sz w:val="24"/>
                                <w:szCs w:val="24"/>
                                <w:lang w:eastAsia="fr-FR"/>
                              </w:rPr>
                              <w:t xml:space="preserve"> territoriales, intégrant ainsi les agents territoriaux.</w:t>
                            </w:r>
                          </w:p>
                          <w:p w14:paraId="1622119C"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Pour les agents territoriaux, ces mesures représentent une double opportunité. D'une part, elles permettent de s'engager concrètement sur le terrain en participant à la vie associative et en contribuant à la réponse aux enjeux locaux, qu'ils soient sociaux, culturels ou environnementaux. D'autre part, elles offrent la possibilité d'acquérir de nouvelles compétences, de développer leur réseau et d'enrichir leur expérience professionnelle, tout en s'inscrivant dans une dynamique de collaboration renforcée entre le secteur public et la société civile.</w:t>
                            </w:r>
                          </w:p>
                          <w:p w14:paraId="340A3C5A"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Les employeurs publics territoriaux et les centres de gestion de la fonction publique territoriale </w:t>
                            </w:r>
                            <w:r w:rsidRPr="007A7662">
                              <w:rPr>
                                <w:rFonts w:ascii="Times New Roman" w:eastAsia="Times New Roman" w:hAnsi="Times New Roman" w:cs="Times New Roman"/>
                                <w:b/>
                                <w:bCs/>
                                <w:color w:val="002060"/>
                                <w:sz w:val="24"/>
                                <w:szCs w:val="24"/>
                                <w:lang w:eastAsia="fr-FR"/>
                              </w:rPr>
                              <w:t>peuvent également promouvoir le dispositif</w:t>
                            </w:r>
                            <w:r w:rsidRPr="007A7662">
                              <w:rPr>
                                <w:rFonts w:ascii="Times New Roman" w:eastAsia="Times New Roman" w:hAnsi="Times New Roman" w:cs="Times New Roman"/>
                                <w:color w:val="002060"/>
                                <w:sz w:val="24"/>
                                <w:szCs w:val="24"/>
                                <w:lang w:eastAsia="fr-FR"/>
                              </w:rPr>
                              <w:t xml:space="preserve"> du mécénat de compétences auprès de leurs agents et en assurer la promotion auprès des organismes susceptibles d’en bénéficier. Dans ce cadre, </w:t>
                            </w:r>
                            <w:r w:rsidRPr="007A7662">
                              <w:rPr>
                                <w:rFonts w:ascii="Times New Roman" w:eastAsia="Times New Roman" w:hAnsi="Times New Roman" w:cs="Times New Roman"/>
                                <w:b/>
                                <w:bCs/>
                                <w:color w:val="002060"/>
                                <w:sz w:val="24"/>
                                <w:szCs w:val="24"/>
                                <w:lang w:eastAsia="fr-FR"/>
                              </w:rPr>
                              <w:t xml:space="preserve">ils peuvent également désigner en leur sein un référent, </w:t>
                            </w:r>
                            <w:r w:rsidRPr="007A7662">
                              <w:rPr>
                                <w:rFonts w:ascii="Times New Roman" w:eastAsia="Times New Roman" w:hAnsi="Times New Roman" w:cs="Times New Roman"/>
                                <w:color w:val="002060"/>
                                <w:sz w:val="24"/>
                                <w:szCs w:val="24"/>
                                <w:lang w:eastAsia="fr-FR"/>
                              </w:rPr>
                              <w:t>chargé de renseigner et d’orienter les agents et les organismes d’accueil.</w:t>
                            </w:r>
                          </w:p>
                          <w:p w14:paraId="07BA28C2" w14:textId="09398A62"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hyperlink r:id="rId17" w:history="1">
                              <w:r w:rsidRPr="007A7662">
                                <w:rPr>
                                  <w:rStyle w:val="Lienhypertexte"/>
                                  <w:rFonts w:ascii="Times New Roman" w:eastAsia="Times New Roman" w:hAnsi="Times New Roman" w:cs="Times New Roman"/>
                                  <w:i/>
                                  <w:iCs/>
                                  <w:sz w:val="24"/>
                                  <w:szCs w:val="24"/>
                                  <w:lang w:eastAsia="fr-FR"/>
                                </w:rPr>
                                <w:t>&gt;&gt;&gt; Définition association d’intérêt général</w:t>
                              </w:r>
                            </w:hyperlink>
                          </w:p>
                          <w:p w14:paraId="0BBA48B6"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Si cette opportunité vous intéresse contacter le SNT</w:t>
                            </w:r>
                          </w:p>
                          <w:p w14:paraId="0484245F"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sz w:val="24"/>
                                <w:szCs w:val="24"/>
                                <w:lang w:eastAsia="fr-FR"/>
                              </w:rPr>
                              <w:t> </w:t>
                            </w:r>
                          </w:p>
                          <w:p w14:paraId="06FA3FB8" w14:textId="77777777" w:rsidR="007A7662" w:rsidRDefault="007A7662">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8B95F" id="Zone de texte 4" o:spid="_x0000_s1027" type="#_x0000_t202" style="position:absolute;margin-left:-13.15pt;margin-top:2.1pt;width:238.5pt;height:58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k4RQIAAH8EAAAOAAAAZHJzL2Uyb0RvYy54bWysVEtv2zAMvg/YfxB0X5xXX0acIkuRYUDQ&#10;FkiHArspshQLkEVNUmJnv36U7KRZt9Owi0yK1EfyI+nZfVtrchDOKzAFHQ2GlAjDoVRmV9BvL6tP&#10;t5T4wEzJNBhR0KPw9H7+8cOssbkYQwW6FI4giPF5YwtahWDzLPO8EjXzA7DCoFGCq1lA1e2y0rEG&#10;0WudjYfD66wBV1oHXHiPtw+dkc4TvpSChycpvQhEFxRzC+l06dzGM5vPWL5zzFaK92mwf8iiZspg&#10;0DPUAwuM7J36A6pW3IEHGQYc6gykVFykGrCa0fBdNZuKWZFqQXK8PdPk/x8sfzw8O6LKgk4pMazG&#10;Fn3HRpFSkCDaIMg0UtRYn6PnxqJvaD9Di60+3Xu8jJW30tXxizURtCPZxzPBiEQ4Xk6G49u7KzRx&#10;tN1MbsYTVBA/e3tunQ9fBNQkCgV12MFELDusfehcTy4xmgetypXSOilxasRSO3Jg2G8dUpII/puX&#10;NqQp6HUMHR8ZiM87ZG0wl1hsV1SUQrttewa2UB6RAAfdFHnLVwqTXDMfnpnDscHCcBXCEx5SAwaB&#10;XqKkAvfzb/fRH7uJVkoaHMOC+h975gQl+qvBPt+NptM4t0mZXt2MUXGXlu2lxezrJWDlI1w6y5MY&#10;/YM+idJB/Yobs4hR0cQMx9gFDSdxGbrlwI3jYrFITjiploW12VgeoSNpsQUv7Stztu9THJZHOA0s&#10;y9+1q/Pt6F7sA0iVehkJ7ljteccpT9PQb2Rco0s9eb39N+a/AAAA//8DAFBLAwQUAAYACAAAACEA&#10;bcNd9OIAAAAKAQAADwAAAGRycy9kb3ducmV2LnhtbEyPy07DMBBF90j8gzVIbFDrNGlaFOJUCPGQ&#10;uqPhIXZuPCQR8TiK3ST8PcMKlqN7dO+ZfDfbTow4+NaRgtUyAoFUOdNSreClfFhcg/BBk9GdI1Tw&#10;jR52xflZrjPjJnrG8RBqwSXkM62gCaHPpPRVg1b7peuROPt0g9WBz6GWZtATl9tOxlG0kVa3xAuN&#10;7vGuwerrcLIKPq7q972fH1+nJE36+6ex3L6ZUqnLi/n2BkTAOfzB8KvP6lCw09GdyHjRKVjEm4RR&#10;BesYBOfrNNqCODK42qQxyCKX/18ofgAAAP//AwBQSwECLQAUAAYACAAAACEAtoM4kv4AAADhAQAA&#10;EwAAAAAAAAAAAAAAAAAAAAAAW0NvbnRlbnRfVHlwZXNdLnhtbFBLAQItABQABgAIAAAAIQA4/SH/&#10;1gAAAJQBAAALAAAAAAAAAAAAAAAAAC8BAABfcmVscy8ucmVsc1BLAQItABQABgAIAAAAIQA54uk4&#10;RQIAAH8EAAAOAAAAAAAAAAAAAAAAAC4CAABkcnMvZTJvRG9jLnhtbFBLAQItABQABgAIAAAAIQBt&#10;w1304gAAAAoBAAAPAAAAAAAAAAAAAAAAAJ8EAABkcnMvZG93bnJldi54bWxQSwUGAAAAAAQABADz&#10;AAAArgUAAAAA&#10;" fillcolor="white [3201]" stroked="f" strokeweight=".5pt">
                <v:textbox>
                  <w:txbxContent>
                    <w:p w14:paraId="0944AFA7" w14:textId="77777777" w:rsidR="007A7662" w:rsidRPr="007A7662" w:rsidRDefault="007A7662" w:rsidP="007A7662">
                      <w:pPr>
                        <w:spacing w:after="0"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b/>
                          <w:bCs/>
                          <w:color w:val="0070C0"/>
                          <w:sz w:val="36"/>
                          <w:szCs w:val="36"/>
                          <w:lang w:eastAsia="fr-FR"/>
                        </w:rPr>
                        <w:t>L’engagement citoyen et le mécénat de compétences:</w:t>
                      </w:r>
                      <w:r w:rsidRPr="007A7662">
                        <w:rPr>
                          <w:rFonts w:ascii="Times New Roman" w:eastAsia="Times New Roman" w:hAnsi="Times New Roman" w:cs="Times New Roman"/>
                          <w:sz w:val="36"/>
                          <w:szCs w:val="36"/>
                          <w:lang w:eastAsia="fr-FR"/>
                        </w:rPr>
                        <w:t xml:space="preserve"> </w:t>
                      </w:r>
                    </w:p>
                    <w:p w14:paraId="2B135A7C" w14:textId="77777777" w:rsidR="007A7662" w:rsidRPr="007A7662" w:rsidRDefault="007A7662" w:rsidP="007A7662">
                      <w:pPr>
                        <w:spacing w:after="0"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b/>
                          <w:bCs/>
                          <w:color w:val="FF9900"/>
                          <w:sz w:val="28"/>
                          <w:szCs w:val="28"/>
                          <w:lang w:eastAsia="fr-FR"/>
                        </w:rPr>
                        <w:t>Des opportunités pour les agents territoriaux</w:t>
                      </w:r>
                    </w:p>
                    <w:p w14:paraId="2082FF18" w14:textId="77777777" w:rsidR="007A7662" w:rsidRPr="007A7662" w:rsidRDefault="007A7662" w:rsidP="007A7662">
                      <w:pPr>
                        <w:shd w:val="clear" w:color="auto" w:fill="DEEAF6" w:themeFill="accent1" w:themeFillTint="33"/>
                        <w:spacing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i/>
                          <w:iCs/>
                          <w:sz w:val="24"/>
                          <w:szCs w:val="24"/>
                          <w:lang w:eastAsia="fr-FR"/>
                        </w:rPr>
                        <w:t>Dans le cadre de la valorisation de l'engagement citoyen, le Gouvernement a mis en place des dispositifs innovants visant à renforcer le lien entre le service public et les associations. Ces mesures, dont le congé d'engagement citoyen et l'expérimentation du mécénat de compétences, offrent aux agents territoriaux l'occasion de contribuer activement à des projets d'intérêt général, tout en enrichissant leur parcours professionnel.</w:t>
                      </w:r>
                    </w:p>
                    <w:p w14:paraId="5C811076"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color w:val="002060"/>
                          <w:sz w:val="24"/>
                          <w:szCs w:val="24"/>
                          <w:lang w:eastAsia="fr-FR"/>
                        </w:rPr>
                        <w:t xml:space="preserve">Le </w:t>
                      </w:r>
                      <w:r w:rsidRPr="007A7662">
                        <w:rPr>
                          <w:rFonts w:ascii="Times New Roman" w:eastAsia="Times New Roman" w:hAnsi="Times New Roman" w:cs="Times New Roman"/>
                          <w:b/>
                          <w:bCs/>
                          <w:color w:val="002060"/>
                          <w:sz w:val="24"/>
                          <w:szCs w:val="24"/>
                          <w:lang w:eastAsia="fr-FR"/>
                        </w:rPr>
                        <w:t>congé d'engagement citoyen</w:t>
                      </w:r>
                      <w:r w:rsidRPr="007A7662">
                        <w:rPr>
                          <w:rFonts w:ascii="Times New Roman" w:eastAsia="Times New Roman" w:hAnsi="Times New Roman" w:cs="Times New Roman"/>
                          <w:color w:val="002060"/>
                          <w:sz w:val="24"/>
                          <w:szCs w:val="24"/>
                          <w:lang w:eastAsia="fr-FR"/>
                        </w:rPr>
                        <w:t xml:space="preserve">, institué par l'ordonnance n° 2021-1574 du 24 novembre 2021 et intégré au code général de la fonction publique, permet aux agents de s'investir dans des missions associatives sans mettre leur carrière en péril. Ce dispositif leur offre un temps dédié pour participer à </w:t>
                      </w:r>
                      <w:hyperlink r:id="rId18" w:history="1">
                        <w:r w:rsidRPr="007A7662">
                          <w:rPr>
                            <w:rFonts w:ascii="Times New Roman" w:eastAsia="Times New Roman" w:hAnsi="Times New Roman" w:cs="Times New Roman"/>
                            <w:color w:val="0000FF"/>
                            <w:sz w:val="24"/>
                            <w:szCs w:val="24"/>
                            <w:u w:val="single"/>
                            <w:lang w:eastAsia="fr-FR"/>
                          </w:rPr>
                          <w:t>des actions sociales, culturelles ou environnementales,</w:t>
                        </w:r>
                      </w:hyperlink>
                      <w:r w:rsidRPr="007A7662">
                        <w:rPr>
                          <w:rFonts w:ascii="Times New Roman" w:eastAsia="Times New Roman" w:hAnsi="Times New Roman" w:cs="Times New Roman"/>
                          <w:sz w:val="24"/>
                          <w:szCs w:val="24"/>
                          <w:lang w:eastAsia="fr-FR"/>
                        </w:rPr>
                        <w:t xml:space="preserve"> </w:t>
                      </w:r>
                      <w:r w:rsidRPr="007A7662">
                        <w:rPr>
                          <w:rFonts w:ascii="Times New Roman" w:eastAsia="Times New Roman" w:hAnsi="Times New Roman" w:cs="Times New Roman"/>
                          <w:color w:val="002060"/>
                          <w:sz w:val="24"/>
                          <w:szCs w:val="24"/>
                          <w:lang w:eastAsia="fr-FR"/>
                        </w:rPr>
                        <w:t>renforçant ainsi le dialogue entre l'administration et la société civile.</w:t>
                      </w:r>
                    </w:p>
                    <w:p w14:paraId="5E61696A"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Parallèlement, l'expérimentation du </w:t>
                      </w:r>
                      <w:r w:rsidRPr="007A7662">
                        <w:rPr>
                          <w:rFonts w:ascii="Times New Roman" w:eastAsia="Times New Roman" w:hAnsi="Times New Roman" w:cs="Times New Roman"/>
                          <w:b/>
                          <w:bCs/>
                          <w:color w:val="002060"/>
                          <w:sz w:val="24"/>
                          <w:szCs w:val="24"/>
                          <w:lang w:eastAsia="fr-FR"/>
                        </w:rPr>
                        <w:t>mécénat de compétences</w:t>
                      </w:r>
                      <w:r w:rsidRPr="007A7662">
                        <w:rPr>
                          <w:rFonts w:ascii="Times New Roman" w:eastAsia="Times New Roman" w:hAnsi="Times New Roman" w:cs="Times New Roman"/>
                          <w:color w:val="002060"/>
                          <w:sz w:val="24"/>
                          <w:szCs w:val="24"/>
                          <w:lang w:eastAsia="fr-FR"/>
                        </w:rPr>
                        <w:t xml:space="preserve"> (encadrée par la loi n° 2022-217 du 21 février 2022 et le décret n° 2022-1682 du 27 décembre 2022) autorise la mise à disposition temporaire d'agents publics au service des associations ou d'autres acteurs d'intérêt général. Pendant cette période, </w:t>
                      </w:r>
                      <w:r w:rsidRPr="007A7662">
                        <w:rPr>
                          <w:rFonts w:ascii="Times New Roman" w:eastAsia="Times New Roman" w:hAnsi="Times New Roman" w:cs="Times New Roman"/>
                          <w:b/>
                          <w:bCs/>
                          <w:color w:val="002060"/>
                          <w:sz w:val="24"/>
                          <w:szCs w:val="24"/>
                          <w:u w:val="single"/>
                          <w:lang w:eastAsia="fr-FR"/>
                        </w:rPr>
                        <w:t>les agents continuent</w:t>
                      </w:r>
                      <w:r w:rsidRPr="007A7662">
                        <w:rPr>
                          <w:rFonts w:ascii="Times New Roman" w:eastAsia="Times New Roman" w:hAnsi="Times New Roman" w:cs="Times New Roman"/>
                          <w:color w:val="002060"/>
                          <w:sz w:val="24"/>
                          <w:szCs w:val="24"/>
                          <w:lang w:eastAsia="fr-FR"/>
                        </w:rPr>
                        <w:t xml:space="preserve"> </w:t>
                      </w:r>
                      <w:r w:rsidRPr="007A7662">
                        <w:rPr>
                          <w:rFonts w:ascii="Times New Roman" w:eastAsia="Times New Roman" w:hAnsi="Times New Roman" w:cs="Times New Roman"/>
                          <w:b/>
                          <w:bCs/>
                          <w:color w:val="002060"/>
                          <w:sz w:val="24"/>
                          <w:szCs w:val="24"/>
                          <w:lang w:eastAsia="fr-FR"/>
                        </w:rPr>
                        <w:t>d'être rémunérés par leur administration</w:t>
                      </w:r>
                      <w:r w:rsidRPr="007A7662">
                        <w:rPr>
                          <w:rFonts w:ascii="Times New Roman" w:eastAsia="Times New Roman" w:hAnsi="Times New Roman" w:cs="Times New Roman"/>
                          <w:color w:val="002060"/>
                          <w:sz w:val="24"/>
                          <w:szCs w:val="24"/>
                          <w:lang w:eastAsia="fr-FR"/>
                        </w:rPr>
                        <w:t>, tout en apportant leur expertise aux projets qui en bénéficient. Ce dispositif vise à pallier les difficultés de recrutement de dirigeants bénévoles dans le secteur associatif et à dynamiser les actions locales par l'apport de compétences professionnelles pointues.</w:t>
                      </w:r>
                    </w:p>
                    <w:p w14:paraId="5A15EC96"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w:t>
                      </w:r>
                      <w:r w:rsidRPr="007A7662">
                        <w:rPr>
                          <w:rFonts w:ascii="Times New Roman" w:eastAsia="Times New Roman" w:hAnsi="Times New Roman" w:cs="Times New Roman"/>
                          <w:sz w:val="24"/>
                          <w:szCs w:val="24"/>
                          <w:lang w:eastAsia="fr-FR"/>
                        </w:rPr>
                        <w:t xml:space="preserve"> </w:t>
                      </w:r>
                      <w:hyperlink r:id="rId19" w:history="1">
                        <w:r w:rsidRPr="007A7662">
                          <w:rPr>
                            <w:rFonts w:ascii="Times New Roman" w:eastAsia="Times New Roman" w:hAnsi="Times New Roman" w:cs="Times New Roman"/>
                            <w:color w:val="0000FF"/>
                            <w:sz w:val="24"/>
                            <w:szCs w:val="24"/>
                            <w:u w:val="single"/>
                            <w:lang w:eastAsia="fr-FR"/>
                          </w:rPr>
                          <w:t>circulaire du 19 juillet 2023</w:t>
                        </w:r>
                      </w:hyperlink>
                      <w:r w:rsidRPr="007A7662">
                        <w:rPr>
                          <w:rFonts w:ascii="Times New Roman" w:eastAsia="Times New Roman" w:hAnsi="Times New Roman" w:cs="Times New Roman"/>
                          <w:sz w:val="24"/>
                          <w:szCs w:val="24"/>
                          <w:lang w:eastAsia="fr-FR"/>
                        </w:rPr>
                        <w:t xml:space="preserve"> </w:t>
                      </w:r>
                      <w:r w:rsidRPr="007A7662">
                        <w:rPr>
                          <w:rFonts w:ascii="Times New Roman" w:eastAsia="Times New Roman" w:hAnsi="Times New Roman" w:cs="Times New Roman"/>
                          <w:color w:val="002060"/>
                          <w:sz w:val="24"/>
                          <w:szCs w:val="24"/>
                          <w:lang w:eastAsia="fr-FR"/>
                        </w:rPr>
                        <w:t xml:space="preserve">précise que les modalités de l'expérimentation du mécénat de compétences s'appliquent aux fonctions publiques d'État </w:t>
                      </w:r>
                      <w:r w:rsidRPr="007A7662">
                        <w:rPr>
                          <w:rFonts w:ascii="Times New Roman" w:eastAsia="Times New Roman" w:hAnsi="Times New Roman" w:cs="Times New Roman"/>
                          <w:b/>
                          <w:bCs/>
                          <w:color w:val="002060"/>
                          <w:sz w:val="24"/>
                          <w:szCs w:val="24"/>
                          <w:u w:val="single"/>
                          <w:lang w:eastAsia="fr-FR"/>
                        </w:rPr>
                        <w:t>et</w:t>
                      </w:r>
                      <w:r w:rsidRPr="007A7662">
                        <w:rPr>
                          <w:rFonts w:ascii="Times New Roman" w:eastAsia="Times New Roman" w:hAnsi="Times New Roman" w:cs="Times New Roman"/>
                          <w:color w:val="002060"/>
                          <w:sz w:val="24"/>
                          <w:szCs w:val="24"/>
                          <w:lang w:eastAsia="fr-FR"/>
                        </w:rPr>
                        <w:t xml:space="preserve"> territoriales, intégrant ainsi les agents territoriaux.</w:t>
                      </w:r>
                    </w:p>
                    <w:p w14:paraId="1622119C"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Pour les agents territoriaux, ces mesures représentent une double opportunité. D'une part, elles permettent de s'engager concrètement sur le terrain en participant à la vie associative et en contribuant à la réponse aux enjeux locaux, qu'ils soient sociaux, culturels ou environnementaux. D'autre part, elles offrent la possibilité d'acquérir de nouvelles compétences, de développer leur réseau et d'enrichir leur expérience professionnelle, tout en s'inscrivant dans une dynamique de collaboration renforcée entre le secteur public et la société civile.</w:t>
                      </w:r>
                    </w:p>
                    <w:p w14:paraId="340A3C5A"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Les employeurs publics territoriaux et les centres de gestion de la fonction publique territoriale </w:t>
                      </w:r>
                      <w:r w:rsidRPr="007A7662">
                        <w:rPr>
                          <w:rFonts w:ascii="Times New Roman" w:eastAsia="Times New Roman" w:hAnsi="Times New Roman" w:cs="Times New Roman"/>
                          <w:b/>
                          <w:bCs/>
                          <w:color w:val="002060"/>
                          <w:sz w:val="24"/>
                          <w:szCs w:val="24"/>
                          <w:lang w:eastAsia="fr-FR"/>
                        </w:rPr>
                        <w:t>peuvent également promouvoir le dispositif</w:t>
                      </w:r>
                      <w:r w:rsidRPr="007A7662">
                        <w:rPr>
                          <w:rFonts w:ascii="Times New Roman" w:eastAsia="Times New Roman" w:hAnsi="Times New Roman" w:cs="Times New Roman"/>
                          <w:color w:val="002060"/>
                          <w:sz w:val="24"/>
                          <w:szCs w:val="24"/>
                          <w:lang w:eastAsia="fr-FR"/>
                        </w:rPr>
                        <w:t xml:space="preserve"> du mécénat de compétences auprès de leurs agents et en assurer la promotion auprès des organismes susceptibles d’en bénéficier. Dans ce cadre, </w:t>
                      </w:r>
                      <w:r w:rsidRPr="007A7662">
                        <w:rPr>
                          <w:rFonts w:ascii="Times New Roman" w:eastAsia="Times New Roman" w:hAnsi="Times New Roman" w:cs="Times New Roman"/>
                          <w:b/>
                          <w:bCs/>
                          <w:color w:val="002060"/>
                          <w:sz w:val="24"/>
                          <w:szCs w:val="24"/>
                          <w:lang w:eastAsia="fr-FR"/>
                        </w:rPr>
                        <w:t xml:space="preserve">ils peuvent également désigner en leur sein un référent, </w:t>
                      </w:r>
                      <w:r w:rsidRPr="007A7662">
                        <w:rPr>
                          <w:rFonts w:ascii="Times New Roman" w:eastAsia="Times New Roman" w:hAnsi="Times New Roman" w:cs="Times New Roman"/>
                          <w:color w:val="002060"/>
                          <w:sz w:val="24"/>
                          <w:szCs w:val="24"/>
                          <w:lang w:eastAsia="fr-FR"/>
                        </w:rPr>
                        <w:t>chargé de renseigner et d’orienter les agents et les organismes d’accueil.</w:t>
                      </w:r>
                    </w:p>
                    <w:p w14:paraId="07BA28C2" w14:textId="09398A62"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hyperlink r:id="rId20" w:history="1">
                        <w:r w:rsidRPr="007A7662">
                          <w:rPr>
                            <w:rStyle w:val="Lienhypertexte"/>
                            <w:rFonts w:ascii="Times New Roman" w:eastAsia="Times New Roman" w:hAnsi="Times New Roman" w:cs="Times New Roman"/>
                            <w:i/>
                            <w:iCs/>
                            <w:sz w:val="24"/>
                            <w:szCs w:val="24"/>
                            <w:lang w:eastAsia="fr-FR"/>
                          </w:rPr>
                          <w:t>&gt;&gt;&gt; Définition association d’intérêt général</w:t>
                        </w:r>
                      </w:hyperlink>
                    </w:p>
                    <w:p w14:paraId="0BBA48B6"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Si cette opportunité vous intéresse contacter le SNT</w:t>
                      </w:r>
                    </w:p>
                    <w:p w14:paraId="0484245F"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sz w:val="24"/>
                          <w:szCs w:val="24"/>
                          <w:lang w:eastAsia="fr-FR"/>
                        </w:rPr>
                        <w:t> </w:t>
                      </w:r>
                    </w:p>
                    <w:p w14:paraId="06FA3FB8" w14:textId="77777777" w:rsidR="007A7662" w:rsidRDefault="007A7662">
                      <w:bookmarkStart w:id="1" w:name="_GoBack"/>
                      <w:bookmarkEnd w:id="1"/>
                    </w:p>
                  </w:txbxContent>
                </v:textbox>
              </v:shape>
            </w:pict>
          </mc:Fallback>
        </mc:AlternateContent>
      </w:r>
    </w:p>
    <w:p w14:paraId="57900F13" w14:textId="0E685B9C" w:rsidR="009A0B04" w:rsidRDefault="009A0B04">
      <w:pPr>
        <w:spacing w:after="0" w:line="643" w:lineRule="exact"/>
        <w:rPr>
          <w:rFonts w:ascii="Aptos" w:hAnsi="Aptos" w:cs="Segoe UI"/>
          <w:sz w:val="40"/>
          <w:szCs w:val="40"/>
        </w:rPr>
      </w:pPr>
    </w:p>
    <w:p w14:paraId="0B977170" w14:textId="1EACC660" w:rsidR="009A0B04" w:rsidRPr="009A0B04" w:rsidRDefault="009A0B04" w:rsidP="009A0B04">
      <w:pPr>
        <w:rPr>
          <w:rFonts w:ascii="Aptos" w:hAnsi="Aptos" w:cs="Segoe UI"/>
          <w:sz w:val="40"/>
          <w:szCs w:val="40"/>
        </w:rPr>
      </w:pPr>
    </w:p>
    <w:p w14:paraId="0E744BB0" w14:textId="70EAA3C3" w:rsidR="009A0B04" w:rsidRPr="009A0B04" w:rsidRDefault="009A0B04" w:rsidP="009A0B04">
      <w:pPr>
        <w:rPr>
          <w:rFonts w:ascii="Aptos" w:hAnsi="Aptos" w:cs="Segoe UI"/>
          <w:sz w:val="40"/>
          <w:szCs w:val="40"/>
        </w:rPr>
      </w:pPr>
    </w:p>
    <w:p w14:paraId="71BF9C4B" w14:textId="09E02B51" w:rsidR="009A0B04" w:rsidRPr="009A0B04" w:rsidRDefault="009A0B04" w:rsidP="009A0B04">
      <w:pPr>
        <w:rPr>
          <w:rFonts w:ascii="Aptos" w:hAnsi="Aptos" w:cs="Segoe UI"/>
          <w:sz w:val="40"/>
          <w:szCs w:val="40"/>
        </w:rPr>
      </w:pPr>
    </w:p>
    <w:p w14:paraId="34B1BCDF" w14:textId="2C4C9E34" w:rsidR="009A0B04" w:rsidRPr="009A0B04" w:rsidRDefault="009A0B04" w:rsidP="009A0B04">
      <w:pPr>
        <w:rPr>
          <w:rFonts w:ascii="Aptos" w:hAnsi="Aptos" w:cs="Segoe UI"/>
          <w:sz w:val="40"/>
          <w:szCs w:val="40"/>
        </w:rPr>
      </w:pPr>
    </w:p>
    <w:p w14:paraId="3310FC84" w14:textId="60FED604" w:rsidR="009A0B04" w:rsidRPr="009A0B04" w:rsidRDefault="009A0B04" w:rsidP="009A0B04">
      <w:pPr>
        <w:rPr>
          <w:rFonts w:ascii="Aptos" w:hAnsi="Aptos" w:cs="Segoe UI"/>
          <w:sz w:val="40"/>
          <w:szCs w:val="40"/>
        </w:rPr>
      </w:pPr>
    </w:p>
    <w:p w14:paraId="74397752" w14:textId="5C5AC363" w:rsidR="009A0B04" w:rsidRPr="009A0B04" w:rsidRDefault="009A0B04" w:rsidP="009A0B04">
      <w:pPr>
        <w:rPr>
          <w:rFonts w:ascii="Aptos" w:hAnsi="Aptos" w:cs="Segoe UI"/>
          <w:sz w:val="40"/>
          <w:szCs w:val="40"/>
        </w:rPr>
      </w:pPr>
    </w:p>
    <w:p w14:paraId="29B3874C" w14:textId="4197787E" w:rsidR="009A0B04" w:rsidRPr="009A0B04" w:rsidRDefault="009A0B04" w:rsidP="009A0B04">
      <w:pPr>
        <w:rPr>
          <w:rFonts w:ascii="Aptos" w:hAnsi="Aptos" w:cs="Segoe UI"/>
          <w:sz w:val="40"/>
          <w:szCs w:val="40"/>
        </w:rPr>
      </w:pPr>
    </w:p>
    <w:p w14:paraId="0B866D61" w14:textId="3ABE836B" w:rsidR="009A0B04" w:rsidRPr="009A0B04" w:rsidRDefault="009A0B04" w:rsidP="009A0B04">
      <w:pPr>
        <w:rPr>
          <w:rFonts w:ascii="Aptos" w:hAnsi="Aptos" w:cs="Segoe UI"/>
          <w:sz w:val="40"/>
          <w:szCs w:val="40"/>
        </w:rPr>
      </w:pPr>
    </w:p>
    <w:p w14:paraId="1C2D8856" w14:textId="0317F088" w:rsidR="009A0B04" w:rsidRPr="009A0B04" w:rsidRDefault="009A0B04" w:rsidP="009A0B04">
      <w:pPr>
        <w:rPr>
          <w:rFonts w:ascii="Aptos" w:hAnsi="Aptos" w:cs="Segoe UI"/>
          <w:sz w:val="40"/>
          <w:szCs w:val="40"/>
        </w:rPr>
      </w:pPr>
    </w:p>
    <w:p w14:paraId="786921C6" w14:textId="64DD680A" w:rsidR="009A0B04" w:rsidRPr="009A0B04" w:rsidRDefault="009A0B04" w:rsidP="009A0B04">
      <w:pPr>
        <w:rPr>
          <w:rFonts w:ascii="Aptos" w:hAnsi="Aptos" w:cs="Segoe UI"/>
          <w:sz w:val="40"/>
          <w:szCs w:val="40"/>
        </w:rPr>
      </w:pPr>
    </w:p>
    <w:p w14:paraId="16DFA511" w14:textId="03DFB75D" w:rsidR="009A0B04" w:rsidRPr="009A0B04" w:rsidRDefault="009A0B04" w:rsidP="009A0B04">
      <w:pPr>
        <w:rPr>
          <w:rFonts w:ascii="Aptos" w:hAnsi="Aptos" w:cs="Segoe UI"/>
          <w:sz w:val="40"/>
          <w:szCs w:val="40"/>
        </w:rPr>
      </w:pPr>
    </w:p>
    <w:p w14:paraId="649518BF" w14:textId="2748085B" w:rsidR="009A0B04" w:rsidRPr="009A0B04" w:rsidRDefault="009A0B04" w:rsidP="009A0B04">
      <w:pPr>
        <w:rPr>
          <w:rFonts w:ascii="Aptos" w:hAnsi="Aptos" w:cs="Segoe UI"/>
          <w:sz w:val="40"/>
          <w:szCs w:val="40"/>
        </w:rPr>
      </w:pPr>
    </w:p>
    <w:p w14:paraId="3AD888CD" w14:textId="46E342C2" w:rsidR="009A0B04" w:rsidRDefault="009A0B04" w:rsidP="009A0B04">
      <w:pPr>
        <w:rPr>
          <w:rFonts w:ascii="Aptos" w:hAnsi="Aptos" w:cs="Segoe UI"/>
          <w:sz w:val="40"/>
          <w:szCs w:val="40"/>
        </w:rPr>
      </w:pPr>
    </w:p>
    <w:p w14:paraId="1784F17C" w14:textId="32BC47CF" w:rsidR="00736FDC" w:rsidRDefault="009A0B04" w:rsidP="009A0B04">
      <w:pPr>
        <w:tabs>
          <w:tab w:val="left" w:pos="5400"/>
        </w:tabs>
        <w:rPr>
          <w:rFonts w:ascii="Aptos" w:hAnsi="Aptos" w:cs="Segoe UI"/>
          <w:sz w:val="40"/>
          <w:szCs w:val="40"/>
        </w:rPr>
      </w:pPr>
      <w:r>
        <w:rPr>
          <w:rFonts w:ascii="Aptos" w:hAnsi="Aptos" w:cs="Segoe UI"/>
          <w:sz w:val="40"/>
          <w:szCs w:val="40"/>
        </w:rPr>
        <w:tab/>
      </w:r>
    </w:p>
    <w:p w14:paraId="7C1B9B0D" w14:textId="6A3474FB" w:rsidR="009A0B04" w:rsidRDefault="009A0B04" w:rsidP="009A0B04">
      <w:pPr>
        <w:tabs>
          <w:tab w:val="left" w:pos="5400"/>
        </w:tabs>
        <w:rPr>
          <w:rFonts w:ascii="Aptos" w:hAnsi="Aptos" w:cs="Segoe UI"/>
          <w:sz w:val="40"/>
          <w:szCs w:val="40"/>
        </w:rPr>
      </w:pPr>
    </w:p>
    <w:p w14:paraId="7978B8D7" w14:textId="47364D60" w:rsidR="009A0B04" w:rsidRPr="009A0B04" w:rsidRDefault="007A7662" w:rsidP="009A0B04">
      <w:pPr>
        <w:tabs>
          <w:tab w:val="left" w:pos="5400"/>
        </w:tabs>
        <w:rPr>
          <w:rFonts w:ascii="Aptos" w:hAnsi="Aptos" w:cs="Segoe UI"/>
          <w:sz w:val="40"/>
          <w:szCs w:val="40"/>
        </w:rPr>
      </w:pPr>
      <w:r>
        <w:rPr>
          <w:rFonts w:ascii="Aptos" w:hAnsi="Aptos" w:cs="Segoe UI"/>
          <w:noProof/>
          <w:sz w:val="40"/>
          <w:szCs w:val="40"/>
          <w:lang w:eastAsia="fr-FR"/>
        </w:rPr>
        <w:lastRenderedPageBreak/>
        <mc:AlternateContent>
          <mc:Choice Requires="wps">
            <w:drawing>
              <wp:anchor distT="0" distB="0" distL="114300" distR="114300" simplePos="0" relativeHeight="251665408" behindDoc="0" locked="0" layoutInCell="1" allowOverlap="1" wp14:anchorId="3902A31E" wp14:editId="74C85B12">
                <wp:simplePos x="0" y="0"/>
                <wp:positionH relativeFrom="column">
                  <wp:posOffset>2919095</wp:posOffset>
                </wp:positionH>
                <wp:positionV relativeFrom="paragraph">
                  <wp:posOffset>179070</wp:posOffset>
                </wp:positionV>
                <wp:extent cx="3143250" cy="8772525"/>
                <wp:effectExtent l="0" t="0" r="0" b="9525"/>
                <wp:wrapNone/>
                <wp:docPr id="10" name="Zone de texte 10"/>
                <wp:cNvGraphicFramePr/>
                <a:graphic xmlns:a="http://schemas.openxmlformats.org/drawingml/2006/main">
                  <a:graphicData uri="http://schemas.microsoft.com/office/word/2010/wordprocessingShape">
                    <wps:wsp>
                      <wps:cNvSpPr txBox="1"/>
                      <wps:spPr>
                        <a:xfrm>
                          <a:off x="0" y="0"/>
                          <a:ext cx="3143250" cy="8772525"/>
                        </a:xfrm>
                        <a:prstGeom prst="rect">
                          <a:avLst/>
                        </a:prstGeom>
                        <a:solidFill>
                          <a:schemeClr val="accent2">
                            <a:lumMod val="20000"/>
                            <a:lumOff val="80000"/>
                          </a:schemeClr>
                        </a:solidFill>
                        <a:ln w="6350">
                          <a:noFill/>
                        </a:ln>
                      </wps:spPr>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2A31E" id="Zone de texte 10" o:spid="_x0000_s1028" type="#_x0000_t202" style="position:absolute;margin-left:229.85pt;margin-top:14.1pt;width:247.5pt;height:69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n3bQIAANUEAAAOAAAAZHJzL2Uyb0RvYy54bWysVMFOGzEQvVfqP1i+l02WBGjEBqUgqkoU&#10;kKBC6s3xeolVr8fYTnbp1/fZm0BKe6p6ceyZ2Tczb97k9KxvDdsoHzTZio8PRpwpK6nW9rHi3+4v&#10;P5xwFqKwtTBkVcWfVeBn8/fvTjs3UyWtyNTKM4DYMOtcxVcxullRBLlSrQgH5JSFsyHfioinfyxq&#10;Lzqgt6YoR6OjoiNfO09ShQDrxeDk84zfNErGm6YJKjJTcdQW8+nzuUxnMT8Vs0cv3ErLbRniH6po&#10;hbZI+gJ1IaJga6//gGq19BSoiQeS2oKaRkuVe0A349Gbbu5WwqncC8gJ7oWm8P9g5fXm1jNdY3ag&#10;x4oWM/qOSbFasaj6qBjsIKlzYYbYO4fo2H+iHh/s7AHG1Hvf+Db9oisGP/CeXygGFJMwHo4nh+UU&#10;LgnfyfFxOS2nCad4/dz5ED8ralm6VNxjhplasbkKcQjdhaRsgYyuL7Ux+ZF0o86NZxuBiQsplY1l&#10;/tys269UD3YoZ7SdPcxQyGA+2ZlRTVZgQsq1/ZbEWNZV/OgQbaScllL2oTBjEZ64GjhJN6PtD1Xf&#10;98t+oBn7oJ722FtS/QxSPQ3aDE5eajR+JUK8FR5iBFlYsHiDozGEzLS9cbYi//Nv9hQPjcDLWQdx&#10;Vzw8rYVXnJkvFur5OJ5MABvzYzI9LvHw+57lvseu23MCm2OU7mS+pvhodtfGU/uAPVykrHAJK5G7&#10;4nF3PY/DymGPpVoschD070S8sndOJujEZBrrff8gvNvOPinwmnZrIGZvJDDEDjNYrCM1OusjsT6w&#10;uh0GdidPcbvnaTn33znq9d9o/gsAAP//AwBQSwMEFAAGAAgAAAAhAK9vB2reAAAACwEAAA8AAABk&#10;cnMvZG93bnJldi54bWxMj01Pg0AQhu8m/ofNNPFmFwjVlrI02oR7W42Jtyk7Aul+EHZp8d87nvQ4&#10;8z5555lyN1sjrjSG3jsF6TIBQa7xunetgve3+nENIkR0Go13pOCbAuyq+7sSC+1v7kjXU2wFl7hQ&#10;oIIuxqGQMjQdWQxLP5Dj7MuPFiOPYyv1iDcut0ZmSfIkLfaOL3Q40L6j5nKarILD5/CB+WxMfZx8&#10;2hzq/eU17ZV6WMwvWxCR5vgHw68+q0PFTmc/OR2EUZCvNs+MKsjWGQgGNqucF2cm84QjWZXy/w/V&#10;DwAAAP//AwBQSwECLQAUAAYACAAAACEAtoM4kv4AAADhAQAAEwAAAAAAAAAAAAAAAAAAAAAAW0Nv&#10;bnRlbnRfVHlwZXNdLnhtbFBLAQItABQABgAIAAAAIQA4/SH/1gAAAJQBAAALAAAAAAAAAAAAAAAA&#10;AC8BAABfcmVscy8ucmVsc1BLAQItABQABgAIAAAAIQCV5sn3bQIAANUEAAAOAAAAAAAAAAAAAAAA&#10;AC4CAABkcnMvZTJvRG9jLnhtbFBLAQItABQABgAIAAAAIQCvbwdq3gAAAAsBAAAPAAAAAAAAAAAA&#10;AAAAAMcEAABkcnMvZG93bnJldi54bWxQSwUGAAAAAAQABADzAAAA0gUAAAAA&#10;" fillcolor="#fbe4d5 [661]" stroked="f" strokeweight=".5pt">
                <v:textbox>
                  <w:txbxContent/>
                </v:textbox>
              </v:shape>
            </w:pict>
          </mc:Fallback>
        </mc:AlternateContent>
      </w:r>
      <w:r>
        <w:rPr>
          <w:rFonts w:ascii="Aptos" w:hAnsi="Aptos" w:cs="Segoe UI"/>
          <w:noProof/>
          <w:sz w:val="40"/>
          <w:szCs w:val="40"/>
          <w:lang w:eastAsia="fr-FR"/>
        </w:rPr>
        <mc:AlternateContent>
          <mc:Choice Requires="wps">
            <w:drawing>
              <wp:anchor distT="0" distB="0" distL="114300" distR="114300" simplePos="0" relativeHeight="251659264" behindDoc="0" locked="0" layoutInCell="1" allowOverlap="1" wp14:anchorId="38A83358" wp14:editId="16B1AA08">
                <wp:simplePos x="0" y="0"/>
                <wp:positionH relativeFrom="column">
                  <wp:posOffset>-243205</wp:posOffset>
                </wp:positionH>
                <wp:positionV relativeFrom="paragraph">
                  <wp:posOffset>179070</wp:posOffset>
                </wp:positionV>
                <wp:extent cx="3162300" cy="8772525"/>
                <wp:effectExtent l="0" t="0" r="0" b="9525"/>
                <wp:wrapNone/>
                <wp:docPr id="7" name="Zone de texte 7"/>
                <wp:cNvGraphicFramePr/>
                <a:graphic xmlns:a="http://schemas.openxmlformats.org/drawingml/2006/main">
                  <a:graphicData uri="http://schemas.microsoft.com/office/word/2010/wordprocessingShape">
                    <wps:wsp>
                      <wps:cNvSpPr txBox="1"/>
                      <wps:spPr>
                        <a:xfrm>
                          <a:off x="0" y="0"/>
                          <a:ext cx="3162300" cy="8772525"/>
                        </a:xfrm>
                        <a:prstGeom prst="rect">
                          <a:avLst/>
                        </a:prstGeom>
                        <a:solidFill>
                          <a:schemeClr val="accent2">
                            <a:lumMod val="20000"/>
                            <a:lumOff val="80000"/>
                          </a:schemeClr>
                        </a:solidFill>
                        <a:ln w="6350">
                          <a:noFill/>
                        </a:ln>
                      </wps:spPr>
                      <wps:txbx id="2">
                        <w:txbxContent>
                          <w:p w14:paraId="295CB0B3"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b/>
                                <w:bCs/>
                                <w:color w:val="FF9900"/>
                                <w:sz w:val="36"/>
                                <w:szCs w:val="36"/>
                                <w:lang w:eastAsia="fr-FR"/>
                              </w:rPr>
                              <w:t>Impact de la directive européenne sur la transparence des rémunérations dans la fonction publique</w:t>
                            </w:r>
                          </w:p>
                          <w:p w14:paraId="63F38796" w14:textId="780EA30A" w:rsidR="007A7662" w:rsidRDefault="007A7662" w:rsidP="007A7662">
                            <w:pPr>
                              <w:spacing w:after="0" w:line="240" w:lineRule="auto"/>
                              <w:rPr>
                                <w:rFonts w:ascii="Times New Roman" w:eastAsia="Times New Roman" w:hAnsi="Times New Roman" w:cs="Times New Roman"/>
                                <w:i/>
                                <w:iCs/>
                                <w:color w:val="0070C0"/>
                                <w:sz w:val="24"/>
                                <w:szCs w:val="24"/>
                                <w:lang w:eastAsia="fr-FR"/>
                              </w:rPr>
                            </w:pPr>
                            <w:r w:rsidRPr="007A7662">
                              <w:rPr>
                                <w:rFonts w:ascii="Times New Roman" w:eastAsia="Times New Roman" w:hAnsi="Times New Roman" w:cs="Times New Roman"/>
                                <w:i/>
                                <w:iCs/>
                                <w:color w:val="0070C0"/>
                                <w:sz w:val="24"/>
                                <w:szCs w:val="24"/>
                                <w:lang w:eastAsia="fr-FR"/>
                              </w:rPr>
                              <w:t>La directive européenne de 2023 sur la transparence des rémunérations impose de nouvelles obligations aux employeurs publics et privés afin de garantir une égalité salariale effective entre les femmes et les hommes. Sa transposition en France est prévue pour l’automne 2025, avec une mise en application obligatoire à partir du 1er juin 2026. Pour la fonction publique, cette directive entraînera un renforcement des dispositifs existants et une meilleure surveillance des écarts de rémunération.</w:t>
                            </w:r>
                          </w:p>
                          <w:p w14:paraId="6491AF0A" w14:textId="77777777" w:rsidR="007A7662" w:rsidRPr="007A7662" w:rsidRDefault="007A7662" w:rsidP="007A7662">
                            <w:pPr>
                              <w:spacing w:after="0" w:line="240" w:lineRule="auto"/>
                              <w:rPr>
                                <w:rFonts w:ascii="Times New Roman" w:eastAsia="Times New Roman" w:hAnsi="Times New Roman" w:cs="Times New Roman"/>
                                <w:sz w:val="24"/>
                                <w:szCs w:val="24"/>
                                <w:lang w:eastAsia="fr-FR"/>
                              </w:rPr>
                            </w:pPr>
                          </w:p>
                          <w:p w14:paraId="10A5670D"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L’index de l’égalité professionnelle, déjà en place dans le secteur public, devra être révisé pour s’aligner sur les exigences accrues de la directive. Cette directive impose une transparence accrue et des méthodologies plus précises pour évaluer la valeur du travail et comparer les rémunérations entre hommes et femmes.</w:t>
                            </w:r>
                          </w:p>
                          <w:p w14:paraId="346F243B"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Les administrations seront tenues de publier des données détaillées sur les écarts de rémunération, y compris :</w:t>
                            </w:r>
                          </w:p>
                          <w:p w14:paraId="26CDC25A" w14:textId="77777777"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L’écart de rémunération global entre les femmes et les hommes.</w:t>
                            </w:r>
                          </w:p>
                          <w:p w14:paraId="3EA5C525" w14:textId="77777777"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Les écarts sur les composantes variables du salaire (primes, indemnités, bonus, etc.).</w:t>
                            </w:r>
                          </w:p>
                          <w:p w14:paraId="7888FD19" w14:textId="77777777"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 répartition des hommes et des femmes dans chaque quartile salarial.</w:t>
                            </w:r>
                          </w:p>
                          <w:p w14:paraId="3A628E0F" w14:textId="43F50EF0"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 proportion d’agents bénéficiant d’éléments variables de rémunération.</w:t>
                            </w:r>
                          </w:p>
                          <w:p w14:paraId="2B4AF424" w14:textId="77777777" w:rsidR="007A7662" w:rsidRPr="007A7662" w:rsidRDefault="007A7662" w:rsidP="007A7662">
                            <w:pPr>
                              <w:spacing w:after="0" w:line="240" w:lineRule="auto"/>
                              <w:ind w:left="720"/>
                              <w:rPr>
                                <w:rFonts w:ascii="Times New Roman" w:eastAsia="Times New Roman" w:hAnsi="Times New Roman" w:cs="Times New Roman"/>
                                <w:color w:val="002060"/>
                                <w:sz w:val="8"/>
                                <w:szCs w:val="8"/>
                                <w:lang w:eastAsia="fr-FR"/>
                              </w:rPr>
                            </w:pPr>
                          </w:p>
                          <w:p w14:paraId="71F0B787"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Cette obligation vise à mettre en lumière les inégalités persistantes et à pousser les employeurs publics à prendre des mesures correctives.</w:t>
                            </w:r>
                          </w:p>
                          <w:p w14:paraId="3ABDAD54" w14:textId="0FADF23D"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Les fonctionnaires auront un </w:t>
                            </w:r>
                            <w:r w:rsidRPr="007A7662">
                              <w:rPr>
                                <w:rFonts w:ascii="Times New Roman" w:eastAsia="Times New Roman" w:hAnsi="Times New Roman" w:cs="Times New Roman"/>
                                <w:b/>
                                <w:bCs/>
                                <w:color w:val="002060"/>
                                <w:sz w:val="24"/>
                                <w:szCs w:val="24"/>
                                <w:lang w:eastAsia="fr-FR"/>
                              </w:rPr>
                              <w:t>droit individuel d’accès à l’information</w:t>
                            </w:r>
                            <w:r w:rsidRPr="007A7662">
                              <w:rPr>
                                <w:rFonts w:ascii="Times New Roman" w:eastAsia="Times New Roman" w:hAnsi="Times New Roman" w:cs="Times New Roman"/>
                                <w:color w:val="002060"/>
                                <w:sz w:val="24"/>
                                <w:szCs w:val="24"/>
                                <w:lang w:eastAsia="fr-FR"/>
                              </w:rPr>
                              <w:t xml:space="preserve"> sur leur rémunération par rapport aux autres agents occupant des postes équivalents. Ils pourront demander des précisions sures :</w:t>
                            </w:r>
                          </w:p>
                          <w:p w14:paraId="19AF4FF3" w14:textId="77777777" w:rsidR="007A7662" w:rsidRPr="007A7662" w:rsidRDefault="007A7662" w:rsidP="007A7662">
                            <w:pPr>
                              <w:numPr>
                                <w:ilvl w:val="0"/>
                                <w:numId w:val="9"/>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Leur rémunération individuelle.</w:t>
                            </w:r>
                          </w:p>
                          <w:p w14:paraId="759AEE59" w14:textId="7584D294" w:rsidR="007A7662" w:rsidRPr="007A7662" w:rsidRDefault="007A7662" w:rsidP="007A7662">
                            <w:pPr>
                              <w:numPr>
                                <w:ilvl w:val="0"/>
                                <w:numId w:val="9"/>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Les niveaux de rémunération moyens, ventilés par sexe, pour des postes comparables.</w:t>
                            </w:r>
                          </w:p>
                          <w:p w14:paraId="038F7F3D" w14:textId="77777777" w:rsidR="007A7662" w:rsidRPr="007A7662" w:rsidRDefault="007A7662" w:rsidP="007A7662">
                            <w:pPr>
                              <w:spacing w:after="0" w:line="240" w:lineRule="auto"/>
                              <w:ind w:left="720"/>
                              <w:rPr>
                                <w:rFonts w:ascii="Times New Roman" w:eastAsia="Times New Roman" w:hAnsi="Times New Roman" w:cs="Times New Roman"/>
                                <w:color w:val="002060"/>
                                <w:sz w:val="8"/>
                                <w:szCs w:val="8"/>
                                <w:lang w:eastAsia="fr-FR"/>
                              </w:rPr>
                            </w:pPr>
                          </w:p>
                          <w:p w14:paraId="53B6BAB3"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Ce droit à la transparence vise à prévenir les discriminations salariales et à donner aux agents les moyens de contester d’éventuelles inégalités.</w:t>
                            </w:r>
                          </w:p>
                          <w:p w14:paraId="2425544C" w14:textId="33110A39"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Si une administration affiche un </w:t>
                            </w:r>
                            <w:r w:rsidRPr="007A7662">
                              <w:rPr>
                                <w:rFonts w:ascii="Times New Roman" w:eastAsia="Times New Roman" w:hAnsi="Times New Roman" w:cs="Times New Roman"/>
                                <w:b/>
                                <w:bCs/>
                                <w:color w:val="002060"/>
                                <w:sz w:val="24"/>
                                <w:szCs w:val="24"/>
                                <w:lang w:eastAsia="fr-FR"/>
                              </w:rPr>
                              <w:t>écart de rémunération d’au moins 5 %</w:t>
                            </w:r>
                            <w:r w:rsidRPr="007A7662">
                              <w:rPr>
                                <w:rFonts w:ascii="Times New Roman" w:eastAsia="Times New Roman" w:hAnsi="Times New Roman" w:cs="Times New Roman"/>
                                <w:color w:val="002060"/>
                                <w:sz w:val="24"/>
                                <w:szCs w:val="24"/>
                                <w:lang w:eastAsia="fr-FR"/>
                              </w:rPr>
                              <w:t xml:space="preserve"> entre les sexes qui ne peut être justifié par des critères objectifs (ancienneté, compétences spécifiques, etc.), elle devra mener une </w:t>
                            </w:r>
                            <w:r w:rsidRPr="007A7662">
                              <w:rPr>
                                <w:rFonts w:ascii="Times New Roman" w:eastAsia="Times New Roman" w:hAnsi="Times New Roman" w:cs="Times New Roman"/>
                                <w:b/>
                                <w:bCs/>
                                <w:color w:val="002060"/>
                                <w:sz w:val="24"/>
                                <w:szCs w:val="24"/>
                                <w:lang w:eastAsia="fr-FR"/>
                              </w:rPr>
                              <w:t>évaluation conjointe</w:t>
                            </w:r>
                            <w:r w:rsidRPr="007A7662">
                              <w:rPr>
                                <w:rFonts w:ascii="Times New Roman" w:eastAsia="Times New Roman" w:hAnsi="Times New Roman" w:cs="Times New Roman"/>
                                <w:color w:val="002060"/>
                                <w:sz w:val="24"/>
                                <w:szCs w:val="24"/>
                                <w:lang w:eastAsia="fr-FR"/>
                              </w:rPr>
                              <w:t xml:space="preserve"> avec les représentants du personnel. L’objectif est d’identifier les causes de ces écarts et de proposer des mesures correctives.</w:t>
                            </w:r>
                          </w:p>
                          <w:p w14:paraId="2FC1F5FD" w14:textId="77777777" w:rsidR="007A7662" w:rsidRPr="007A7662" w:rsidRDefault="007A7662" w:rsidP="007A7662">
                            <w:pPr>
                              <w:spacing w:after="0" w:line="240" w:lineRule="auto"/>
                              <w:rPr>
                                <w:rFonts w:ascii="Times New Roman" w:eastAsia="Times New Roman" w:hAnsi="Times New Roman" w:cs="Times New Roman"/>
                                <w:color w:val="002060"/>
                                <w:sz w:val="8"/>
                                <w:szCs w:val="8"/>
                                <w:lang w:eastAsia="fr-FR"/>
                              </w:rPr>
                            </w:pPr>
                          </w:p>
                          <w:p w14:paraId="471FB755"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Afin d’assurer l’application effective de la directive, plusieurs mécanismes de recours sont prévus :</w:t>
                            </w:r>
                          </w:p>
                          <w:p w14:paraId="26C91BE9" w14:textId="77777777" w:rsidR="007A7662" w:rsidRPr="007A7662" w:rsidRDefault="007A7662" w:rsidP="007A7662">
                            <w:pPr>
                              <w:numPr>
                                <w:ilvl w:val="0"/>
                                <w:numId w:val="10"/>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Les agents victimes de discrimination salariale pourront engager des </w:t>
                            </w:r>
                            <w:r w:rsidRPr="007A7662">
                              <w:rPr>
                                <w:rFonts w:ascii="Times New Roman" w:eastAsia="Times New Roman" w:hAnsi="Times New Roman" w:cs="Times New Roman"/>
                                <w:b/>
                                <w:bCs/>
                                <w:color w:val="002060"/>
                                <w:sz w:val="24"/>
                                <w:szCs w:val="24"/>
                                <w:lang w:eastAsia="fr-FR"/>
                              </w:rPr>
                              <w:t>actions en justice</w:t>
                            </w:r>
                            <w:r w:rsidRPr="007A7662">
                              <w:rPr>
                                <w:rFonts w:ascii="Times New Roman" w:eastAsia="Times New Roman" w:hAnsi="Times New Roman" w:cs="Times New Roman"/>
                                <w:color w:val="002060"/>
                                <w:sz w:val="24"/>
                                <w:szCs w:val="24"/>
                                <w:lang w:eastAsia="fr-FR"/>
                              </w:rPr>
                              <w:t xml:space="preserve"> et demander des compensations financières.</w:t>
                            </w:r>
                          </w:p>
                          <w:p w14:paraId="0C407FEE" w14:textId="77777777" w:rsidR="007A7662" w:rsidRPr="007A7662" w:rsidRDefault="007A7662" w:rsidP="007A7662">
                            <w:pPr>
                              <w:numPr>
                                <w:ilvl w:val="0"/>
                                <w:numId w:val="10"/>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La </w:t>
                            </w:r>
                            <w:r w:rsidRPr="007A7662">
                              <w:rPr>
                                <w:rFonts w:ascii="Times New Roman" w:eastAsia="Times New Roman" w:hAnsi="Times New Roman" w:cs="Times New Roman"/>
                                <w:b/>
                                <w:bCs/>
                                <w:color w:val="002060"/>
                                <w:sz w:val="24"/>
                                <w:szCs w:val="24"/>
                                <w:lang w:eastAsia="fr-FR"/>
                              </w:rPr>
                              <w:t>charge de la preuve</w:t>
                            </w:r>
                            <w:r w:rsidRPr="007A7662">
                              <w:rPr>
                                <w:rFonts w:ascii="Times New Roman" w:eastAsia="Times New Roman" w:hAnsi="Times New Roman" w:cs="Times New Roman"/>
                                <w:color w:val="002060"/>
                                <w:sz w:val="24"/>
                                <w:szCs w:val="24"/>
                                <w:lang w:eastAsia="fr-FR"/>
                              </w:rPr>
                              <w:t xml:space="preserve"> sera inversée : ce sera à l’employeur public de démontrer l’absence de discrimination.</w:t>
                            </w:r>
                          </w:p>
                          <w:p w14:paraId="21788F7A" w14:textId="3F06B71D" w:rsidR="007A7662" w:rsidRPr="007A7662" w:rsidRDefault="007A7662" w:rsidP="007A7662">
                            <w:pPr>
                              <w:numPr>
                                <w:ilvl w:val="0"/>
                                <w:numId w:val="10"/>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Des </w:t>
                            </w:r>
                            <w:r w:rsidRPr="007A7662">
                              <w:rPr>
                                <w:rFonts w:ascii="Times New Roman" w:eastAsia="Times New Roman" w:hAnsi="Times New Roman" w:cs="Times New Roman"/>
                                <w:b/>
                                <w:bCs/>
                                <w:color w:val="002060"/>
                                <w:sz w:val="24"/>
                                <w:szCs w:val="24"/>
                                <w:lang w:eastAsia="fr-FR"/>
                              </w:rPr>
                              <w:t>sanctions</w:t>
                            </w:r>
                            <w:r w:rsidRPr="007A7662">
                              <w:rPr>
                                <w:rFonts w:ascii="Times New Roman" w:eastAsia="Times New Roman" w:hAnsi="Times New Roman" w:cs="Times New Roman"/>
                                <w:color w:val="002060"/>
                                <w:sz w:val="24"/>
                                <w:szCs w:val="24"/>
                                <w:lang w:eastAsia="fr-FR"/>
                              </w:rPr>
                              <w:t xml:space="preserve"> pourront être appliquées aux administrations ne respectant pas les obligations de transparence et d’égalité salariale.</w:t>
                            </w:r>
                          </w:p>
                          <w:p w14:paraId="7FABA2F5" w14:textId="77777777" w:rsidR="007A7662" w:rsidRPr="007A7662" w:rsidRDefault="007A7662" w:rsidP="007A7662">
                            <w:pPr>
                              <w:spacing w:after="0" w:line="240" w:lineRule="auto"/>
                              <w:ind w:left="720"/>
                              <w:rPr>
                                <w:rFonts w:ascii="Times New Roman" w:eastAsia="Times New Roman" w:hAnsi="Times New Roman" w:cs="Times New Roman"/>
                                <w:color w:val="002060"/>
                                <w:sz w:val="8"/>
                                <w:szCs w:val="8"/>
                                <w:lang w:eastAsia="fr-FR"/>
                              </w:rPr>
                            </w:pPr>
                          </w:p>
                          <w:p w14:paraId="2924EFC6"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 directive européenne de 2023 va profondément transformer les pratiques en matière d’égalité salariale dans la fonction publique. En renforçant la transparence et les obligations de reporting, elle vise à identifier et corriger plus efficacement les écarts de rémunération. Les administrations devront adapter leurs outils et renforcer leurs dispositifs pour se conformer aux nouvelles exigences, sous peine de sanctions. Le gouvernement français s’est engagé à transposer cette directive d’ici l’automne 2025, afin de garantir une mise en application effective dès juin 2026.</w:t>
                            </w:r>
                          </w:p>
                          <w:p w14:paraId="06D3B0B4" w14:textId="77777777" w:rsidR="007A7662" w:rsidRDefault="007A76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83358" id="Zone de texte 7" o:spid="_x0000_s1029" type="#_x0000_t202" style="position:absolute;margin-left:-19.15pt;margin-top:14.1pt;width:249pt;height:6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ApZwIAAMUEAAAOAAAAZHJzL2Uyb0RvYy54bWysVE1PGzEQvVfqf7B8L5sshKQRG5SCqCpR&#10;QIIKqTfH6yUr2R7XdrJLf32fvUmgtKeqF+94Zjwfb97s2XlvNNsqH1qyFR8fjThTVlLd2qeKf3u4&#10;+jDjLERha6HJqoo/q8DPF+/fnXVurkpak66VZwhiw7xzFV/H6OZFEeRaGRGOyCkLY0PeiIirfypq&#10;LzpEN7ooR6PToiNfO09ShQDt5WDkixy/aZSMt00TVGS64qgt5tPnc5XOYnEm5k9euHUrd2WIf6jC&#10;iNYi6SHUpYiCbXz7RyjTSk+BmngkyRTUNK1UuQd0Mx696eZ+LZzKvQCc4A4whf8XVt5s7zxr64pP&#10;ObPCYETfMShWKxZVHxWbJog6F+bwvHfwjf0n6jHqvT5AmTrvG2/SFz0x2AH28wFgRGISyuPxaXk8&#10;gknCNptOy0k5SXGKl+fOh/hZkWFJqLjHBDOwYnsd4uC6d0nZAum2vmq1zpfEGnWhPdsKzFtIqWws&#10;83O9MV+pHvTgDWrIk4ca/BjUs70a1WT+pUi5tt+SaMu6ip8eT0Y5sKWUfShMW7gnrAZMkhT7VZ/h&#10;PeC1ovoZMHoauBicvGrR6rUI8U54kA/wYKHiLY5GE3LRTuJsTf7n3/TJH5yAlbMOZK54+LERXnGm&#10;v1iw5eP45CSxP19OJtMSF//asnptsRtzQcBvjNV1MovJP+q92Hgyj9i7ZcoKk7ASuSse9+JFHFYM&#10;eyvVcpmdwHcn4rW9dzKFTvNKg3zoH4V3u2knyt3QnvZi/mbog296aWm5idS0mREJ5wHVHfzYlTy3&#10;3V6nZXx9z14vf5/FLwAAAP//AwBQSwMEFAAGAAgAAAAhAIKiXIrfAAAACwEAAA8AAABkcnMvZG93&#10;bnJldi54bWxMj8FOg0AQhu8mvsNmTLy1CxQtIkujTbi31Zj0NoUVSHdnCbu0+PaOJ3ubyXz55/uL&#10;zWyNuOjR944UxMsIhKbaNT21Cj4/qkUGwgekBo0jreBHe9iU93cF5o270l5fDqEVHEI+RwVdCEMu&#10;pa87bdEv3aCJb99utBh4HVvZjHjlcGtkEkXP0mJP/KHDQW87XZ8Pk1WwOw5fmM7GVPvJxfWu2p7f&#10;416px4f57RVE0HP4h+FPn9WhZKeTm6jxwihYrLIVowqSLAHBQPr0sgZxYjKNeJJlIW87lL8AAAD/&#10;/wMAUEsBAi0AFAAGAAgAAAAhALaDOJL+AAAA4QEAABMAAAAAAAAAAAAAAAAAAAAAAFtDb250ZW50&#10;X1R5cGVzXS54bWxQSwECLQAUAAYACAAAACEAOP0h/9YAAACUAQAACwAAAAAAAAAAAAAAAAAvAQAA&#10;X3JlbHMvLnJlbHNQSwECLQAUAAYACAAAACEAUAnAKWcCAADFBAAADgAAAAAAAAAAAAAAAAAuAgAA&#10;ZHJzL2Uyb0RvYy54bWxQSwECLQAUAAYACAAAACEAgqJcit8AAAALAQAADwAAAAAAAAAAAAAAAADB&#10;BAAAZHJzL2Rvd25yZXYueG1sUEsFBgAAAAAEAAQA8wAAAM0FAAAAAA==&#10;" fillcolor="#fbe4d5 [661]" stroked="f" strokeweight=".5pt">
                <v:textbox style="mso-next-textbox:#Zone de texte 10">
                  <w:txbxContent>
                    <w:p w14:paraId="295CB0B3" w14:textId="77777777" w:rsidR="007A7662" w:rsidRPr="007A7662" w:rsidRDefault="007A7662" w:rsidP="007A7662">
                      <w:pPr>
                        <w:spacing w:before="100" w:beforeAutospacing="1" w:after="100" w:afterAutospacing="1" w:line="240" w:lineRule="auto"/>
                        <w:rPr>
                          <w:rFonts w:ascii="Times New Roman" w:eastAsia="Times New Roman" w:hAnsi="Times New Roman" w:cs="Times New Roman"/>
                          <w:sz w:val="24"/>
                          <w:szCs w:val="24"/>
                          <w:lang w:eastAsia="fr-FR"/>
                        </w:rPr>
                      </w:pPr>
                      <w:r w:rsidRPr="007A7662">
                        <w:rPr>
                          <w:rFonts w:ascii="Times New Roman" w:eastAsia="Times New Roman" w:hAnsi="Times New Roman" w:cs="Times New Roman"/>
                          <w:b/>
                          <w:bCs/>
                          <w:color w:val="FF9900"/>
                          <w:sz w:val="36"/>
                          <w:szCs w:val="36"/>
                          <w:lang w:eastAsia="fr-FR"/>
                        </w:rPr>
                        <w:t>Impact de la directive européenne sur la transparence des rémunérations dans la fonction publique</w:t>
                      </w:r>
                    </w:p>
                    <w:p w14:paraId="63F38796" w14:textId="780EA30A" w:rsidR="007A7662" w:rsidRDefault="007A7662" w:rsidP="007A7662">
                      <w:pPr>
                        <w:spacing w:after="0" w:line="240" w:lineRule="auto"/>
                        <w:rPr>
                          <w:rFonts w:ascii="Times New Roman" w:eastAsia="Times New Roman" w:hAnsi="Times New Roman" w:cs="Times New Roman"/>
                          <w:i/>
                          <w:iCs/>
                          <w:color w:val="0070C0"/>
                          <w:sz w:val="24"/>
                          <w:szCs w:val="24"/>
                          <w:lang w:eastAsia="fr-FR"/>
                        </w:rPr>
                      </w:pPr>
                      <w:r w:rsidRPr="007A7662">
                        <w:rPr>
                          <w:rFonts w:ascii="Times New Roman" w:eastAsia="Times New Roman" w:hAnsi="Times New Roman" w:cs="Times New Roman"/>
                          <w:i/>
                          <w:iCs/>
                          <w:color w:val="0070C0"/>
                          <w:sz w:val="24"/>
                          <w:szCs w:val="24"/>
                          <w:lang w:eastAsia="fr-FR"/>
                        </w:rPr>
                        <w:t>La directive européenne de 2023 sur la transparence des rémunérations impose de nouvelles obligations aux employeurs publics et privés afin de garantir une égalité salariale effective entre les femmes et les hommes. Sa transposition en France est prévue pour l’automne 2025, avec une mise en application obligatoire à partir du 1er juin 2026. Pour la fonction publique, cette directive entraînera un renforcement des dispositifs existants et une meilleure surveillance des écarts de rémunération.</w:t>
                      </w:r>
                    </w:p>
                    <w:p w14:paraId="6491AF0A" w14:textId="77777777" w:rsidR="007A7662" w:rsidRPr="007A7662" w:rsidRDefault="007A7662" w:rsidP="007A7662">
                      <w:pPr>
                        <w:spacing w:after="0" w:line="240" w:lineRule="auto"/>
                        <w:rPr>
                          <w:rFonts w:ascii="Times New Roman" w:eastAsia="Times New Roman" w:hAnsi="Times New Roman" w:cs="Times New Roman"/>
                          <w:sz w:val="24"/>
                          <w:szCs w:val="24"/>
                          <w:lang w:eastAsia="fr-FR"/>
                        </w:rPr>
                      </w:pPr>
                    </w:p>
                    <w:p w14:paraId="10A5670D"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L’index de l’égalité professionnelle, déjà en place dans le secteur public, devra être révisé pour s’aligner sur les exigences accrues de la directive. Cette directive impose une transparence accrue et des méthodologies plus précises pour évaluer la valeur du travail et comparer les rémunérations entre hommes et femmes.</w:t>
                      </w:r>
                    </w:p>
                    <w:p w14:paraId="346F243B"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Les administrations seront tenues de publier des données détaillées sur les écarts de rémunération, y compris :</w:t>
                      </w:r>
                    </w:p>
                    <w:p w14:paraId="26CDC25A" w14:textId="77777777"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L’écart de rémunération global entre les femmes et les hommes.</w:t>
                      </w:r>
                    </w:p>
                    <w:p w14:paraId="3EA5C525" w14:textId="77777777"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Les écarts sur les composantes variables du salaire (primes, indemnités, bonus, etc.).</w:t>
                      </w:r>
                    </w:p>
                    <w:p w14:paraId="7888FD19" w14:textId="77777777"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 répartition des hommes et des femmes dans chaque quartile salarial.</w:t>
                      </w:r>
                    </w:p>
                    <w:p w14:paraId="3A628E0F" w14:textId="43F50EF0" w:rsidR="007A7662" w:rsidRPr="007A7662" w:rsidRDefault="007A7662" w:rsidP="007A7662">
                      <w:pPr>
                        <w:numPr>
                          <w:ilvl w:val="0"/>
                          <w:numId w:val="8"/>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 proportion d’agents bénéficiant d’éléments variables de rémunération.</w:t>
                      </w:r>
                    </w:p>
                    <w:p w14:paraId="2B4AF424" w14:textId="77777777" w:rsidR="007A7662" w:rsidRPr="007A7662" w:rsidRDefault="007A7662" w:rsidP="007A7662">
                      <w:pPr>
                        <w:spacing w:after="0" w:line="240" w:lineRule="auto"/>
                        <w:ind w:left="720"/>
                        <w:rPr>
                          <w:rFonts w:ascii="Times New Roman" w:eastAsia="Times New Roman" w:hAnsi="Times New Roman" w:cs="Times New Roman"/>
                          <w:color w:val="002060"/>
                          <w:sz w:val="8"/>
                          <w:szCs w:val="8"/>
                          <w:lang w:eastAsia="fr-FR"/>
                        </w:rPr>
                      </w:pPr>
                    </w:p>
                    <w:p w14:paraId="71F0B787"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Cette obligation vise à mettre en lumière les inégalités persistantes et à pousser les employeurs publics à prendre des mesures correctives.</w:t>
                      </w:r>
                    </w:p>
                    <w:p w14:paraId="3ABDAD54" w14:textId="0FADF23D"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Les fonctionnaires auront un </w:t>
                      </w:r>
                      <w:r w:rsidRPr="007A7662">
                        <w:rPr>
                          <w:rFonts w:ascii="Times New Roman" w:eastAsia="Times New Roman" w:hAnsi="Times New Roman" w:cs="Times New Roman"/>
                          <w:b/>
                          <w:bCs/>
                          <w:color w:val="002060"/>
                          <w:sz w:val="24"/>
                          <w:szCs w:val="24"/>
                          <w:lang w:eastAsia="fr-FR"/>
                        </w:rPr>
                        <w:t>droit individuel d’accès à l’information</w:t>
                      </w:r>
                      <w:r w:rsidRPr="007A7662">
                        <w:rPr>
                          <w:rFonts w:ascii="Times New Roman" w:eastAsia="Times New Roman" w:hAnsi="Times New Roman" w:cs="Times New Roman"/>
                          <w:color w:val="002060"/>
                          <w:sz w:val="24"/>
                          <w:szCs w:val="24"/>
                          <w:lang w:eastAsia="fr-FR"/>
                        </w:rPr>
                        <w:t xml:space="preserve"> sur leur rémunération par rapport aux autres agents occupant des postes équivalents. Ils pourront demander des précisions sures :</w:t>
                      </w:r>
                    </w:p>
                    <w:p w14:paraId="19AF4FF3" w14:textId="77777777" w:rsidR="007A7662" w:rsidRPr="007A7662" w:rsidRDefault="007A7662" w:rsidP="007A7662">
                      <w:pPr>
                        <w:numPr>
                          <w:ilvl w:val="0"/>
                          <w:numId w:val="9"/>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Leur rémunération individuelle.</w:t>
                      </w:r>
                    </w:p>
                    <w:p w14:paraId="759AEE59" w14:textId="7584D294" w:rsidR="007A7662" w:rsidRPr="007A7662" w:rsidRDefault="007A7662" w:rsidP="007A7662">
                      <w:pPr>
                        <w:numPr>
                          <w:ilvl w:val="0"/>
                          <w:numId w:val="9"/>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Les niveaux de rémunération moyens, ventilés par sexe, pour des postes comparables.</w:t>
                      </w:r>
                    </w:p>
                    <w:p w14:paraId="038F7F3D" w14:textId="77777777" w:rsidR="007A7662" w:rsidRPr="007A7662" w:rsidRDefault="007A7662" w:rsidP="007A7662">
                      <w:pPr>
                        <w:spacing w:after="0" w:line="240" w:lineRule="auto"/>
                        <w:ind w:left="720"/>
                        <w:rPr>
                          <w:rFonts w:ascii="Times New Roman" w:eastAsia="Times New Roman" w:hAnsi="Times New Roman" w:cs="Times New Roman"/>
                          <w:color w:val="002060"/>
                          <w:sz w:val="8"/>
                          <w:szCs w:val="8"/>
                          <w:lang w:eastAsia="fr-FR"/>
                        </w:rPr>
                      </w:pPr>
                    </w:p>
                    <w:p w14:paraId="53B6BAB3"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Ce droit à la transparence vise à prévenir les discriminations salariales et à donner aux agents les moyens de contester d’éventuelles inégalités.</w:t>
                      </w:r>
                    </w:p>
                    <w:p w14:paraId="2425544C" w14:textId="33110A39"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Si une administration affiche un </w:t>
                      </w:r>
                      <w:r w:rsidRPr="007A7662">
                        <w:rPr>
                          <w:rFonts w:ascii="Times New Roman" w:eastAsia="Times New Roman" w:hAnsi="Times New Roman" w:cs="Times New Roman"/>
                          <w:b/>
                          <w:bCs/>
                          <w:color w:val="002060"/>
                          <w:sz w:val="24"/>
                          <w:szCs w:val="24"/>
                          <w:lang w:eastAsia="fr-FR"/>
                        </w:rPr>
                        <w:t>écart de rémunération d’au moins 5 %</w:t>
                      </w:r>
                      <w:r w:rsidRPr="007A7662">
                        <w:rPr>
                          <w:rFonts w:ascii="Times New Roman" w:eastAsia="Times New Roman" w:hAnsi="Times New Roman" w:cs="Times New Roman"/>
                          <w:color w:val="002060"/>
                          <w:sz w:val="24"/>
                          <w:szCs w:val="24"/>
                          <w:lang w:eastAsia="fr-FR"/>
                        </w:rPr>
                        <w:t xml:space="preserve"> entre les sexes qui ne peut être justifié par des critères objectifs (ancienneté, compétences spécifiques, etc.), elle devra mener une </w:t>
                      </w:r>
                      <w:r w:rsidRPr="007A7662">
                        <w:rPr>
                          <w:rFonts w:ascii="Times New Roman" w:eastAsia="Times New Roman" w:hAnsi="Times New Roman" w:cs="Times New Roman"/>
                          <w:b/>
                          <w:bCs/>
                          <w:color w:val="002060"/>
                          <w:sz w:val="24"/>
                          <w:szCs w:val="24"/>
                          <w:lang w:eastAsia="fr-FR"/>
                        </w:rPr>
                        <w:t>évaluation conjointe</w:t>
                      </w:r>
                      <w:r w:rsidRPr="007A7662">
                        <w:rPr>
                          <w:rFonts w:ascii="Times New Roman" w:eastAsia="Times New Roman" w:hAnsi="Times New Roman" w:cs="Times New Roman"/>
                          <w:color w:val="002060"/>
                          <w:sz w:val="24"/>
                          <w:szCs w:val="24"/>
                          <w:lang w:eastAsia="fr-FR"/>
                        </w:rPr>
                        <w:t xml:space="preserve"> avec les représentants du personnel. L’objectif est d’identifier les causes de ces écarts et de proposer des mesures correctives.</w:t>
                      </w:r>
                    </w:p>
                    <w:p w14:paraId="2FC1F5FD" w14:textId="77777777" w:rsidR="007A7662" w:rsidRPr="007A7662" w:rsidRDefault="007A7662" w:rsidP="007A7662">
                      <w:pPr>
                        <w:spacing w:after="0" w:line="240" w:lineRule="auto"/>
                        <w:rPr>
                          <w:rFonts w:ascii="Times New Roman" w:eastAsia="Times New Roman" w:hAnsi="Times New Roman" w:cs="Times New Roman"/>
                          <w:color w:val="002060"/>
                          <w:sz w:val="8"/>
                          <w:szCs w:val="8"/>
                          <w:lang w:eastAsia="fr-FR"/>
                        </w:rPr>
                      </w:pPr>
                    </w:p>
                    <w:p w14:paraId="471FB755"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Afin d’assurer l’application effective de la directive, plusieurs mécanismes de recours sont prévus :</w:t>
                      </w:r>
                    </w:p>
                    <w:p w14:paraId="26C91BE9" w14:textId="77777777" w:rsidR="007A7662" w:rsidRPr="007A7662" w:rsidRDefault="007A7662" w:rsidP="007A7662">
                      <w:pPr>
                        <w:numPr>
                          <w:ilvl w:val="0"/>
                          <w:numId w:val="10"/>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Les agents victimes de discrimination salariale pourront engager des </w:t>
                      </w:r>
                      <w:r w:rsidRPr="007A7662">
                        <w:rPr>
                          <w:rFonts w:ascii="Times New Roman" w:eastAsia="Times New Roman" w:hAnsi="Times New Roman" w:cs="Times New Roman"/>
                          <w:b/>
                          <w:bCs/>
                          <w:color w:val="002060"/>
                          <w:sz w:val="24"/>
                          <w:szCs w:val="24"/>
                          <w:lang w:eastAsia="fr-FR"/>
                        </w:rPr>
                        <w:t>actions en justice</w:t>
                      </w:r>
                      <w:r w:rsidRPr="007A7662">
                        <w:rPr>
                          <w:rFonts w:ascii="Times New Roman" w:eastAsia="Times New Roman" w:hAnsi="Times New Roman" w:cs="Times New Roman"/>
                          <w:color w:val="002060"/>
                          <w:sz w:val="24"/>
                          <w:szCs w:val="24"/>
                          <w:lang w:eastAsia="fr-FR"/>
                        </w:rPr>
                        <w:t xml:space="preserve"> et demander des compensations financières.</w:t>
                      </w:r>
                    </w:p>
                    <w:p w14:paraId="0C407FEE" w14:textId="77777777" w:rsidR="007A7662" w:rsidRPr="007A7662" w:rsidRDefault="007A7662" w:rsidP="007A7662">
                      <w:pPr>
                        <w:numPr>
                          <w:ilvl w:val="0"/>
                          <w:numId w:val="10"/>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La </w:t>
                      </w:r>
                      <w:r w:rsidRPr="007A7662">
                        <w:rPr>
                          <w:rFonts w:ascii="Times New Roman" w:eastAsia="Times New Roman" w:hAnsi="Times New Roman" w:cs="Times New Roman"/>
                          <w:b/>
                          <w:bCs/>
                          <w:color w:val="002060"/>
                          <w:sz w:val="24"/>
                          <w:szCs w:val="24"/>
                          <w:lang w:eastAsia="fr-FR"/>
                        </w:rPr>
                        <w:t>charge de la preuve</w:t>
                      </w:r>
                      <w:r w:rsidRPr="007A7662">
                        <w:rPr>
                          <w:rFonts w:ascii="Times New Roman" w:eastAsia="Times New Roman" w:hAnsi="Times New Roman" w:cs="Times New Roman"/>
                          <w:color w:val="002060"/>
                          <w:sz w:val="24"/>
                          <w:szCs w:val="24"/>
                          <w:lang w:eastAsia="fr-FR"/>
                        </w:rPr>
                        <w:t xml:space="preserve"> sera inversée : ce sera à l’employeur public de démontrer l’absence de discrimination.</w:t>
                      </w:r>
                    </w:p>
                    <w:p w14:paraId="21788F7A" w14:textId="3F06B71D" w:rsidR="007A7662" w:rsidRPr="007A7662" w:rsidRDefault="007A7662" w:rsidP="007A7662">
                      <w:pPr>
                        <w:numPr>
                          <w:ilvl w:val="0"/>
                          <w:numId w:val="10"/>
                        </w:num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 xml:space="preserve">Des </w:t>
                      </w:r>
                      <w:r w:rsidRPr="007A7662">
                        <w:rPr>
                          <w:rFonts w:ascii="Times New Roman" w:eastAsia="Times New Roman" w:hAnsi="Times New Roman" w:cs="Times New Roman"/>
                          <w:b/>
                          <w:bCs/>
                          <w:color w:val="002060"/>
                          <w:sz w:val="24"/>
                          <w:szCs w:val="24"/>
                          <w:lang w:eastAsia="fr-FR"/>
                        </w:rPr>
                        <w:t>sanctions</w:t>
                      </w:r>
                      <w:r w:rsidRPr="007A7662">
                        <w:rPr>
                          <w:rFonts w:ascii="Times New Roman" w:eastAsia="Times New Roman" w:hAnsi="Times New Roman" w:cs="Times New Roman"/>
                          <w:color w:val="002060"/>
                          <w:sz w:val="24"/>
                          <w:szCs w:val="24"/>
                          <w:lang w:eastAsia="fr-FR"/>
                        </w:rPr>
                        <w:t xml:space="preserve"> pourront être appliquées aux administrations ne respectant pas les obligations de transparence et d’égalité salariale.</w:t>
                      </w:r>
                    </w:p>
                    <w:p w14:paraId="7FABA2F5" w14:textId="77777777" w:rsidR="007A7662" w:rsidRPr="007A7662" w:rsidRDefault="007A7662" w:rsidP="007A7662">
                      <w:pPr>
                        <w:spacing w:after="0" w:line="240" w:lineRule="auto"/>
                        <w:ind w:left="720"/>
                        <w:rPr>
                          <w:rFonts w:ascii="Times New Roman" w:eastAsia="Times New Roman" w:hAnsi="Times New Roman" w:cs="Times New Roman"/>
                          <w:color w:val="002060"/>
                          <w:sz w:val="8"/>
                          <w:szCs w:val="8"/>
                          <w:lang w:eastAsia="fr-FR"/>
                        </w:rPr>
                      </w:pPr>
                    </w:p>
                    <w:p w14:paraId="2924EFC6" w14:textId="77777777" w:rsidR="007A7662" w:rsidRPr="007A7662" w:rsidRDefault="007A7662" w:rsidP="007A7662">
                      <w:pPr>
                        <w:spacing w:after="0" w:line="240" w:lineRule="auto"/>
                        <w:rPr>
                          <w:rFonts w:ascii="Times New Roman" w:eastAsia="Times New Roman" w:hAnsi="Times New Roman" w:cs="Times New Roman"/>
                          <w:color w:val="002060"/>
                          <w:sz w:val="24"/>
                          <w:szCs w:val="24"/>
                          <w:lang w:eastAsia="fr-FR"/>
                        </w:rPr>
                      </w:pPr>
                      <w:r w:rsidRPr="007A7662">
                        <w:rPr>
                          <w:rFonts w:ascii="Times New Roman" w:eastAsia="Times New Roman" w:hAnsi="Times New Roman" w:cs="Times New Roman"/>
                          <w:color w:val="002060"/>
                          <w:sz w:val="24"/>
                          <w:szCs w:val="24"/>
                          <w:lang w:eastAsia="fr-FR"/>
                        </w:rPr>
                        <w:t>La directive européenne de 2023 va profondément transformer les pratiques en matière d’égalité salariale dans la fonction publique. En renforçant la transparence et les obligations de reporting, elle vise à identifier et corriger plus efficacement les écarts de rémunération. Les administrations devront adapter leurs outils et renforcer leurs dispositifs pour se conformer aux nouvelles exigences, sous peine de sanctions. Le gouvernement français s’est engagé à transposer cette directive d’ici l’automne 2025, afin de garantir une mise en application effective dès juin 2026.</w:t>
                      </w:r>
                    </w:p>
                    <w:p w14:paraId="06D3B0B4" w14:textId="77777777" w:rsidR="007A7662" w:rsidRDefault="007A7662"/>
                  </w:txbxContent>
                </v:textbox>
              </v:shape>
            </w:pict>
          </mc:Fallback>
        </mc:AlternateContent>
      </w:r>
    </w:p>
    <w:sectPr w:rsidR="009A0B04" w:rsidRPr="009A0B04" w:rsidSect="00736FDC">
      <w:type w:val="continuous"/>
      <w:pgSz w:w="11900" w:h="16820"/>
      <w:pgMar w:top="663" w:right="1418" w:bottom="1650" w:left="1418" w:header="709" w:footer="168"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0E93" w14:textId="77777777" w:rsidR="00844844" w:rsidRDefault="00844844" w:rsidP="00555ADB">
      <w:pPr>
        <w:spacing w:after="0" w:line="240" w:lineRule="auto"/>
      </w:pPr>
      <w:r>
        <w:separator/>
      </w:r>
    </w:p>
  </w:endnote>
  <w:endnote w:type="continuationSeparator" w:id="0">
    <w:p w14:paraId="4F6EFC71" w14:textId="77777777" w:rsidR="00844844" w:rsidRDefault="00844844" w:rsidP="0055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SemiBold">
    <w:altName w:val="Arial"/>
    <w:charset w:val="00"/>
    <w:family w:val="swiss"/>
    <w:pitch w:val="variable"/>
    <w:sig w:usb0="00000001" w:usb1="00000003" w:usb2="00000000" w:usb3="00000000" w:csb0="0000019F" w:csb1="00000000"/>
  </w:font>
  <w:font w:name="Aptos ExtraBold">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altName w:val="Times New Roman"/>
    <w:charset w:val="00"/>
    <w:family w:val="swiss"/>
    <w:pitch w:val="variable"/>
    <w:sig w:usb0="20000287" w:usb1="00000003" w:usb2="00000000" w:usb3="00000000" w:csb0="0000019F" w:csb1="00000000"/>
  </w:font>
  <w:font w:name="typeecon">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0414E" w14:textId="20139E13" w:rsidR="007E7C1A" w:rsidRDefault="007E7C1A" w:rsidP="000F5C80">
    <w:pPr>
      <w:spacing w:after="0" w:line="240" w:lineRule="auto"/>
      <w:jc w:val="center"/>
      <w:rPr>
        <w:rFonts w:ascii="typeecon" w:hAnsi="typeecon" w:cs="Arial"/>
        <w:bCs/>
        <w:sz w:val="17"/>
        <w:szCs w:val="17"/>
      </w:rPr>
    </w:pPr>
    <w:r w:rsidRPr="007E7C1A">
      <w:rPr>
        <w:rFonts w:ascii="Aptos" w:hAnsi="Aptos" w:cs="Segoe UI"/>
        <w:b/>
        <w:noProof/>
        <w:sz w:val="17"/>
        <w:szCs w:val="17"/>
        <w:lang w:eastAsia="fr-FR"/>
      </w:rPr>
      <w:drawing>
        <wp:anchor distT="0" distB="0" distL="0" distR="0" simplePos="0" relativeHeight="251658240" behindDoc="1" locked="0" layoutInCell="1" allowOverlap="0" wp14:anchorId="19A2AC57" wp14:editId="516DD80B">
          <wp:simplePos x="0" y="0"/>
          <wp:positionH relativeFrom="column">
            <wp:posOffset>711835</wp:posOffset>
          </wp:positionH>
          <wp:positionV relativeFrom="page">
            <wp:posOffset>9649326</wp:posOffset>
          </wp:positionV>
          <wp:extent cx="4384800" cy="5220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ED.png"/>
                  <pic:cNvPicPr/>
                </pic:nvPicPr>
                <pic:blipFill rotWithShape="1">
                  <a:blip r:embed="rId1">
                    <a:extLst>
                      <a:ext uri="{28A0092B-C50C-407E-A947-70E740481C1C}">
                        <a14:useLocalDpi xmlns:a14="http://schemas.microsoft.com/office/drawing/2010/main" val="0"/>
                      </a:ext>
                    </a:extLst>
                  </a:blip>
                  <a:srcRect l="-664" t="5852" r="-664" b="6359"/>
                  <a:stretch/>
                </pic:blipFill>
                <pic:spPr bwMode="auto">
                  <a:xfrm>
                    <a:off x="0" y="0"/>
                    <a:ext cx="4384800" cy="52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A3F993" w14:textId="4CAA387F" w:rsidR="000F5C80" w:rsidRDefault="000F5C80" w:rsidP="000F5C80">
    <w:pPr>
      <w:spacing w:after="0" w:line="240" w:lineRule="auto"/>
      <w:jc w:val="center"/>
      <w:rPr>
        <w:rFonts w:ascii="typeecon" w:hAnsi="typeecon" w:cs="Arial"/>
        <w:bCs/>
        <w:sz w:val="17"/>
        <w:szCs w:val="17"/>
      </w:rPr>
    </w:pPr>
  </w:p>
  <w:p w14:paraId="39462D8A" w14:textId="544DD2F6" w:rsidR="000F5C80" w:rsidRDefault="000F5C80" w:rsidP="000F5C80">
    <w:pPr>
      <w:spacing w:after="0" w:line="240" w:lineRule="auto"/>
      <w:jc w:val="center"/>
      <w:rPr>
        <w:rFonts w:ascii="typeecon" w:hAnsi="typeecon" w:cs="Arial"/>
        <w:bCs/>
        <w:sz w:val="17"/>
        <w:szCs w:val="17"/>
      </w:rPr>
    </w:pPr>
  </w:p>
  <w:p w14:paraId="48A2FA50" w14:textId="77777777" w:rsidR="000F5C80" w:rsidRPr="000F5C80" w:rsidRDefault="000F5C80" w:rsidP="000F5C80">
    <w:pPr>
      <w:spacing w:after="0" w:line="240" w:lineRule="auto"/>
      <w:jc w:val="center"/>
      <w:rPr>
        <w:rFonts w:ascii="typeecon" w:hAnsi="typeecon" w:cs="Arial"/>
        <w:bCs/>
        <w:sz w:val="17"/>
        <w:szCs w:val="17"/>
      </w:rPr>
    </w:pPr>
  </w:p>
  <w:p w14:paraId="3F9BA849" w14:textId="0B620983" w:rsidR="007E7C1A" w:rsidRPr="00280E32" w:rsidRDefault="00280E32" w:rsidP="00280E32">
    <w:pPr>
      <w:spacing w:after="0" w:line="240" w:lineRule="auto"/>
      <w:jc w:val="center"/>
      <w:rPr>
        <w:rFonts w:ascii="Aptos" w:hAnsi="Aptos" w:cs="Arial"/>
        <w:bCs/>
        <w:sz w:val="18"/>
        <w:szCs w:val="18"/>
      </w:rPr>
    </w:pPr>
    <w:r>
      <w:rPr>
        <w:noProof/>
        <w:lang w:eastAsia="fr-FR"/>
      </w:rPr>
      <mc:AlternateContent>
        <mc:Choice Requires="wps">
          <w:drawing>
            <wp:anchor distT="0" distB="0" distL="114300" distR="114300" simplePos="0" relativeHeight="251657216" behindDoc="0" locked="0" layoutInCell="1" allowOverlap="0" wp14:anchorId="41CB9032" wp14:editId="6FD135A9">
              <wp:simplePos x="0" y="0"/>
              <wp:positionH relativeFrom="column">
                <wp:posOffset>661035</wp:posOffset>
              </wp:positionH>
              <wp:positionV relativeFrom="page">
                <wp:posOffset>10211569</wp:posOffset>
              </wp:positionV>
              <wp:extent cx="4531995" cy="151130"/>
              <wp:effectExtent l="0" t="0" r="1905" b="1270"/>
              <wp:wrapSquare wrapText="bothSides"/>
              <wp:docPr id="1" name="Zone de texte 1"/>
              <wp:cNvGraphicFramePr/>
              <a:graphic xmlns:a="http://schemas.openxmlformats.org/drawingml/2006/main">
                <a:graphicData uri="http://schemas.microsoft.com/office/word/2010/wordprocessingShape">
                  <wps:wsp>
                    <wps:cNvSpPr txBox="1"/>
                    <wps:spPr>
                      <a:xfrm>
                        <a:off x="0" y="0"/>
                        <a:ext cx="4531995" cy="151130"/>
                      </a:xfrm>
                      <a:prstGeom prst="rect">
                        <a:avLst/>
                      </a:prstGeom>
                      <a:noFill/>
                      <a:ln w="6350">
                        <a:noFill/>
                      </a:ln>
                    </wps:spPr>
                    <wps:txbx>
                      <w:txbxContent>
                        <w:p w14:paraId="04A1C99E" w14:textId="62118378" w:rsidR="007E7C1A" w:rsidRPr="00D328BA" w:rsidRDefault="007E7C1A" w:rsidP="00844844">
                          <w:pPr>
                            <w:jc w:val="center"/>
                            <w:rPr>
                              <w:rFonts w:ascii="typeecon" w:hAnsi="typeecon" w:cs="Arial"/>
                              <w:bCs/>
                              <w:sz w:val="17"/>
                              <w:szCs w:val="17"/>
                            </w:rPr>
                          </w:pPr>
                          <w:r w:rsidRPr="007E7C1A">
                            <w:rPr>
                              <w:rFonts w:ascii="Arial" w:hAnsi="Arial" w:cs="Arial"/>
                              <w:bCs/>
                              <w:sz w:val="17"/>
                              <w:szCs w:val="17"/>
                            </w:rPr>
                            <w:t xml:space="preserve"> 06 33 98 47 52     </w:t>
                          </w:r>
                          <w:hyperlink r:id="rId2" w:history="1">
                            <w:r w:rsidR="0050492F" w:rsidRPr="0050492F">
                              <w:rPr>
                                <w:rStyle w:val="Lienhypertexte"/>
                                <w:rFonts w:ascii="Arial" w:hAnsi="Arial" w:cs="Arial"/>
                                <w:bCs/>
                                <w:sz w:val="17"/>
                                <w:szCs w:val="17"/>
                              </w:rPr>
                              <w:t>courrier.snt@gmail.com</w:t>
                            </w:r>
                          </w:hyperlink>
                          <w:r w:rsidR="0050492F">
                            <w:rPr>
                              <w:rFonts w:ascii="Arial" w:hAnsi="Arial" w:cs="Arial"/>
                              <w:bCs/>
                              <w:sz w:val="17"/>
                              <w:szCs w:val="17"/>
                            </w:rPr>
                            <w:t xml:space="preserve">  </w:t>
                          </w:r>
                          <w:hyperlink r:id="rId3" w:history="1">
                            <w:r w:rsidR="00F80F92" w:rsidRPr="00F80F92">
                              <w:rPr>
                                <w:rStyle w:val="Lienhypertexte"/>
                                <w:rFonts w:ascii="Arial" w:hAnsi="Arial" w:cs="Arial"/>
                                <w:bCs/>
                                <w:sz w:val="17"/>
                                <w:szCs w:val="17"/>
                              </w:rPr>
                              <w:t xml:space="preserve"> www.snt-cgc.fr </w:t>
                            </w:r>
                          </w:hyperlink>
                          <w:r w:rsidR="00F80F92">
                            <w:rPr>
                              <w:rFonts w:ascii="Arial" w:hAnsi="Arial" w:cs="Arial"/>
                              <w:bCs/>
                              <w:sz w:val="17"/>
                              <w:szCs w:val="17"/>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B9032" id="_x0000_t202" coordsize="21600,21600" o:spt="202" path="m,l,21600r21600,l21600,xe">
              <v:stroke joinstyle="miter"/>
              <v:path gradientshapeok="t" o:connecttype="rect"/>
            </v:shapetype>
            <v:shape id="Zone de texte 1" o:spid="_x0000_s1030" type="#_x0000_t202" style="position:absolute;left:0;text-align:left;margin-left:52.05pt;margin-top:804.05pt;width:356.85pt;height:1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lJgIAAEYEAAAOAAAAZHJzL2Uyb0RvYy54bWysU11r2zAUfR/sPwi9L7abpawmTslaMgah&#10;LaSjsDdFlmKDpKtJSuzs1+9KttPR7WnsRb7W/T7naHnba0VOwvkWTEWLWU6JMBzq1hwq+u158+ET&#10;JT4wUzMFRlT0LDy9Xb1/t+xsKa6gAVULR7CI8WVnK9qEYMss87wRmvkZWGHQKcFpFvDXHbLasQ6r&#10;a5Vd5fl11oGrrQMuvMfb+8FJV6m+lIKHRym9CERVFGcL6XTp3MczWy1ZeXDMNi0fx2D/MIVmrcGm&#10;l1L3LDBydO0fpXTLHXiQYcZBZyBly0XaAbcp8jfb7BpmRdoFwfH2ApP/f2X5w+nJkbZG7igxTCNF&#10;35EoUgsSRB8EKSJEnfUlRu4sxob+M/QxfLz3eBk376XT8Ys7EfQj2OcLwFiJcLz8uJgXNzcLSjj6&#10;ikVRzBMD2Wu2dT58EaBJNCrqkMCEKzttfcCOGDqFxGYGNq1SiURlSFfR6/kiTwkXD2Yog4lxh2HW&#10;aIV+348L7KE+414OBnF4yzctNt8yH56YQzXgKqjw8IiHVIBNYLQoacD9/Nt9jEeS0EtJh+qqqP9x&#10;ZE5Qor4apC9KcTLcZOwnwxz1HaBgkRKcJpmY4IKaTOlAv6Dw17ELupjh2KuiYTLvwqBxfDhcrNcp&#10;CAVnWdianeWxdIQvQvncvzBnR7wj5w8w6Y6Vb2AfYgfg18cAsk2cREAHFEecUayJqvFhxdfw+3+K&#10;en3+q18AAAD//wMAUEsDBBQABgAIAAAAIQApzgsf3wAAAA0BAAAPAAAAZHJzL2Rvd25yZXYueG1s&#10;TE/LTsMwELwj8Q/WInGjtgGVEOJUiMcNCm1BgpsTL0mEH1HspOHv2Z7gNrMzmp0pVrOzbMIhdsEr&#10;kAsBDH0dTOcbBW+7x7MMWEzaG22DRwU/GGFVHh8VOjdh7zc4bVPDKMTHXCtoU+pzzmPdotNxEXr0&#10;pH2FwelEdGi4GfSewp3l50IsudOdpw+t7vGuxfp7OzoF9iMOT5VIn9N985xeX/j4/iDXSp2ezLc3&#10;wBLO6c8Mh/pUHUrqVIXRm8gscXEpyUpgKTJCZMnkFa2pDqcLeQ28LPj/FeUvAAAA//8DAFBLAQIt&#10;ABQABgAIAAAAIQC2gziS/gAAAOEBAAATAAAAAAAAAAAAAAAAAAAAAABbQ29udGVudF9UeXBlc10u&#10;eG1sUEsBAi0AFAAGAAgAAAAhADj9If/WAAAAlAEAAAsAAAAAAAAAAAAAAAAALwEAAF9yZWxzLy5y&#10;ZWxzUEsBAi0AFAAGAAgAAAAhAJb4l2UmAgAARgQAAA4AAAAAAAAAAAAAAAAALgIAAGRycy9lMm9E&#10;b2MueG1sUEsBAi0AFAAGAAgAAAAhACnOCx/fAAAADQEAAA8AAAAAAAAAAAAAAAAAgAQAAGRycy9k&#10;b3ducmV2LnhtbFBLBQYAAAAABAAEAPMAAACMBQAAAAA=&#10;" o:allowoverlap="f" filled="f" stroked="f" strokeweight=".5pt">
              <v:textbox style="mso-next-textbox:#Zone de texte 6" inset="0,0,0,0">
                <w:txbxContent>
                  <w:p w14:paraId="04A1C99E" w14:textId="62118378" w:rsidR="007E7C1A" w:rsidRPr="00D328BA" w:rsidRDefault="007E7C1A" w:rsidP="00844844">
                    <w:pPr>
                      <w:jc w:val="center"/>
                      <w:rPr>
                        <w:rFonts w:ascii="typeecon" w:hAnsi="typeecon" w:cs="Arial"/>
                        <w:bCs/>
                        <w:sz w:val="17"/>
                        <w:szCs w:val="17"/>
                      </w:rPr>
                    </w:pPr>
                    <w:r w:rsidRPr="007E7C1A">
                      <w:rPr>
                        <w:rFonts w:ascii="Arial" w:hAnsi="Arial" w:cs="Arial"/>
                        <w:bCs/>
                        <w:sz w:val="17"/>
                        <w:szCs w:val="17"/>
                      </w:rPr>
                      <w:t xml:space="preserve"> 06 33 98 47 52     </w:t>
                    </w:r>
                    <w:hyperlink r:id="rId4" w:history="1">
                      <w:r w:rsidR="0050492F" w:rsidRPr="0050492F">
                        <w:rPr>
                          <w:rStyle w:val="Lienhypertexte"/>
                          <w:rFonts w:ascii="Arial" w:hAnsi="Arial" w:cs="Arial"/>
                          <w:bCs/>
                          <w:sz w:val="17"/>
                          <w:szCs w:val="17"/>
                        </w:rPr>
                        <w:t>courrier.snt@gmail.com</w:t>
                      </w:r>
                    </w:hyperlink>
                    <w:r w:rsidR="0050492F">
                      <w:rPr>
                        <w:rFonts w:ascii="Arial" w:hAnsi="Arial" w:cs="Arial"/>
                        <w:bCs/>
                        <w:sz w:val="17"/>
                        <w:szCs w:val="17"/>
                      </w:rPr>
                      <w:t xml:space="preserve">  </w:t>
                    </w:r>
                    <w:hyperlink r:id="rId5" w:history="1">
                      <w:r w:rsidR="00F80F92" w:rsidRPr="00F80F92">
                        <w:rPr>
                          <w:rStyle w:val="Lienhypertexte"/>
                          <w:rFonts w:ascii="Arial" w:hAnsi="Arial" w:cs="Arial"/>
                          <w:bCs/>
                          <w:sz w:val="17"/>
                          <w:szCs w:val="17"/>
                        </w:rPr>
                        <w:t xml:space="preserve"> www.snt-cgc.fr </w:t>
                      </w:r>
                    </w:hyperlink>
                    <w:r w:rsidR="00F80F92">
                      <w:rPr>
                        <w:rFonts w:ascii="Arial" w:hAnsi="Arial" w:cs="Arial"/>
                        <w:bCs/>
                        <w:sz w:val="17"/>
                        <w:szCs w:val="17"/>
                      </w:rPr>
                      <w:t xml:space="preserve"> </w:t>
                    </w:r>
                  </w:p>
                </w:txbxContent>
              </v:textbox>
              <w10:wrap type="square" anchory="page"/>
            </v:shape>
          </w:pict>
        </mc:Fallback>
      </mc:AlternateContent>
    </w:r>
  </w:p>
  <w:p w14:paraId="18E42CAB" w14:textId="77777777" w:rsidR="00280E32" w:rsidRPr="00280E32" w:rsidRDefault="00280E32" w:rsidP="00280E32">
    <w:pPr>
      <w:spacing w:after="0" w:line="240" w:lineRule="auto"/>
      <w:jc w:val="center"/>
      <w:rPr>
        <w:rFonts w:ascii="Aptos" w:hAnsi="Aptos" w:cs="Segoe UI"/>
        <w:b/>
        <w:color w:val="4472C4" w:themeColor="accent5"/>
        <w:sz w:val="18"/>
        <w:szCs w:val="18"/>
      </w:rPr>
    </w:pPr>
  </w:p>
  <w:p w14:paraId="7E6E7672" w14:textId="77777777" w:rsidR="00280E32" w:rsidRPr="00280E32" w:rsidRDefault="00280E32" w:rsidP="00280E32">
    <w:pPr>
      <w:spacing w:after="0" w:line="240" w:lineRule="auto"/>
      <w:jc w:val="center"/>
      <w:rPr>
        <w:rFonts w:ascii="Aptos" w:hAnsi="Aptos" w:cs="Segoe UI"/>
        <w:b/>
        <w:color w:val="4472C4" w:themeColor="accent5"/>
        <w:sz w:val="6"/>
        <w:szCs w:val="6"/>
      </w:rPr>
    </w:pPr>
  </w:p>
  <w:p w14:paraId="55401EC0" w14:textId="192F0934" w:rsidR="007E7C1A" w:rsidRPr="00280E32" w:rsidRDefault="00C53268" w:rsidP="00280E32">
    <w:pPr>
      <w:spacing w:after="0" w:line="240" w:lineRule="auto"/>
      <w:jc w:val="both"/>
      <w:rPr>
        <w:rFonts w:ascii="Aptos" w:hAnsi="Aptos" w:cs="Segoe UI"/>
        <w:b/>
        <w:color w:val="4472C4" w:themeColor="accent5"/>
        <w:sz w:val="2"/>
        <w:szCs w:val="2"/>
      </w:rPr>
    </w:pPr>
    <w:r w:rsidRPr="0062240E">
      <w:rPr>
        <w:rFonts w:ascii="Aptos" w:hAnsi="Aptos" w:cs="Segoe UI"/>
        <w:b/>
        <w:color w:val="4472C4" w:themeColor="accent5"/>
        <w:sz w:val="16"/>
        <w:szCs w:val="16"/>
      </w:rPr>
      <w:t>SNT_INFO</w:t>
    </w:r>
    <w:r w:rsidR="0062240E" w:rsidRPr="0062240E">
      <w:rPr>
        <w:rFonts w:ascii="Aptos" w:hAnsi="Aptos" w:cs="Segoe UI"/>
        <w:b/>
        <w:color w:val="4472C4" w:themeColor="accent5"/>
        <w:sz w:val="16"/>
        <w:szCs w:val="16"/>
      </w:rPr>
      <w:t>S #</w:t>
    </w:r>
    <w:r w:rsidR="007A7662">
      <w:rPr>
        <w:rFonts w:ascii="Aptos" w:hAnsi="Aptos" w:cs="Segoe UI"/>
        <w:b/>
        <w:color w:val="4472C4" w:themeColor="accent5"/>
        <w:sz w:val="16"/>
        <w:szCs w:val="16"/>
      </w:rPr>
      <w:t>024</w:t>
    </w:r>
    <w:r w:rsidRPr="0062240E">
      <w:rPr>
        <w:rFonts w:ascii="Aptos" w:hAnsi="Aptos" w:cs="Segoe UI"/>
        <w:b/>
        <w:color w:val="4472C4" w:themeColor="accent5"/>
        <w:sz w:val="16"/>
        <w:szCs w:val="16"/>
      </w:rPr>
      <w:t xml:space="preserve"> </w:t>
    </w:r>
    <w:r w:rsidR="0062240E" w:rsidRPr="0062240E">
      <w:rPr>
        <w:rFonts w:ascii="Aptos" w:hAnsi="Aptos" w:cs="Segoe UI"/>
        <w:b/>
        <w:color w:val="4472C4" w:themeColor="accent5"/>
        <w:sz w:val="16"/>
        <w:szCs w:val="16"/>
      </w:rPr>
      <w:t>-</w:t>
    </w:r>
    <w:r w:rsidR="00B255DD" w:rsidRPr="0062240E">
      <w:rPr>
        <w:rFonts w:ascii="Aptos" w:hAnsi="Aptos" w:cs="Segoe UI"/>
        <w:b/>
        <w:color w:val="4472C4" w:themeColor="accent5"/>
        <w:sz w:val="16"/>
        <w:szCs w:val="16"/>
      </w:rPr>
      <w:t xml:space="preserve"> </w:t>
    </w:r>
    <w:r w:rsidR="00AB63C8">
      <w:rPr>
        <w:rFonts w:ascii="Aptos" w:hAnsi="Aptos" w:cs="Segoe UI"/>
        <w:b/>
        <w:color w:val="4472C4" w:themeColor="accent5"/>
        <w:sz w:val="16"/>
        <w:szCs w:val="16"/>
      </w:rPr>
      <w:fldChar w:fldCharType="begin"/>
    </w:r>
    <w:r w:rsidR="00AB63C8">
      <w:rPr>
        <w:rFonts w:ascii="Aptos" w:hAnsi="Aptos" w:cs="Segoe UI"/>
        <w:b/>
        <w:color w:val="4472C4" w:themeColor="accent5"/>
        <w:sz w:val="16"/>
        <w:szCs w:val="16"/>
      </w:rPr>
      <w:instrText xml:space="preserve"> TIME \@ "dd/MM/yyyy" </w:instrText>
    </w:r>
    <w:r w:rsidR="00AB63C8">
      <w:rPr>
        <w:rFonts w:ascii="Aptos" w:hAnsi="Aptos" w:cs="Segoe UI"/>
        <w:b/>
        <w:color w:val="4472C4" w:themeColor="accent5"/>
        <w:sz w:val="16"/>
        <w:szCs w:val="16"/>
      </w:rPr>
      <w:fldChar w:fldCharType="separate"/>
    </w:r>
    <w:r w:rsidR="007A7662">
      <w:rPr>
        <w:rFonts w:ascii="Aptos" w:hAnsi="Aptos" w:cs="Segoe UI"/>
        <w:b/>
        <w:noProof/>
        <w:color w:val="4472C4" w:themeColor="accent5"/>
        <w:sz w:val="16"/>
        <w:szCs w:val="16"/>
      </w:rPr>
      <w:t>17/03/2025</w:t>
    </w:r>
    <w:r w:rsidR="00AB63C8">
      <w:rPr>
        <w:rFonts w:ascii="Aptos" w:hAnsi="Aptos" w:cs="Segoe UI"/>
        <w:b/>
        <w:color w:val="4472C4" w:themeColor="accent5"/>
        <w:sz w:val="16"/>
        <w:szCs w:val="16"/>
      </w:rPr>
      <w:fldChar w:fldCharType="end"/>
    </w:r>
    <w:r w:rsidR="00D72D60">
      <w:rPr>
        <w:rFonts w:ascii="Aptos" w:hAnsi="Aptos" w:cs="Segoe UI"/>
        <w:b/>
        <w:color w:val="4472C4" w:themeColor="accent5"/>
        <w:sz w:val="16"/>
        <w:szCs w:val="16"/>
      </w:rPr>
      <w:t xml:space="preserve"> </w:t>
    </w:r>
    <w:r w:rsidR="00C227A0" w:rsidRPr="00F80F92">
      <w:rPr>
        <w:rFonts w:ascii="Aptos" w:hAnsi="Aptos" w:cs="Segoe UI"/>
        <w:b/>
        <w:color w:val="ED7D31" w:themeColor="accent2"/>
        <w:sz w:val="16"/>
        <w:szCs w:val="16"/>
      </w:rPr>
      <w:t xml:space="preserve">Se </w:t>
    </w:r>
    <w:r w:rsidR="001A726A" w:rsidRPr="00F80F92">
      <w:rPr>
        <w:rFonts w:ascii="Aptos" w:hAnsi="Aptos" w:cs="Segoe UI"/>
        <w:b/>
        <w:color w:val="ED7D31" w:themeColor="accent2"/>
        <w:sz w:val="16"/>
        <w:szCs w:val="16"/>
      </w:rPr>
      <w:t>désabonner de cette publication en cliquant :</w:t>
    </w:r>
    <w:r w:rsidR="001A726A" w:rsidRPr="001A726A">
      <w:rPr>
        <w:rFonts w:ascii="Aptos" w:hAnsi="Aptos" w:cs="Segoe UI"/>
        <w:b/>
        <w:color w:val="808080" w:themeColor="background1" w:themeShade="80"/>
        <w:sz w:val="16"/>
        <w:szCs w:val="16"/>
      </w:rPr>
      <w:t xml:space="preserve"> </w:t>
    </w:r>
    <w:hyperlink r:id="rId6" w:history="1">
      <w:r w:rsidR="001A726A" w:rsidRPr="00C227A0">
        <w:rPr>
          <w:rStyle w:val="Lienhypertexte"/>
          <w:rFonts w:ascii="Aptos" w:hAnsi="Aptos" w:cs="Segoe UI"/>
          <w:b/>
          <w:sz w:val="16"/>
          <w:szCs w:val="16"/>
        </w:rPr>
        <w:t>ICI</w:t>
      </w:r>
    </w:hyperlink>
    <w:r w:rsidR="00280E32">
      <w:rPr>
        <w:rFonts w:ascii="Aptos" w:hAnsi="Aptos" w:cs="Segoe UI"/>
        <w:b/>
        <w:color w:val="808080" w:themeColor="background1" w:themeShade="80"/>
        <w:sz w:val="16"/>
        <w:szCs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FE195" w14:textId="77777777" w:rsidR="00844844" w:rsidRDefault="00844844" w:rsidP="00555ADB">
      <w:pPr>
        <w:spacing w:after="0" w:line="240" w:lineRule="auto"/>
      </w:pPr>
      <w:r>
        <w:separator/>
      </w:r>
    </w:p>
  </w:footnote>
  <w:footnote w:type="continuationSeparator" w:id="0">
    <w:p w14:paraId="0A18D32E" w14:textId="77777777" w:rsidR="00844844" w:rsidRDefault="00844844" w:rsidP="00555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71293"/>
    <w:multiLevelType w:val="hybridMultilevel"/>
    <w:tmpl w:val="D5C0A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F00F64"/>
    <w:multiLevelType w:val="multilevel"/>
    <w:tmpl w:val="56F0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64419"/>
    <w:multiLevelType w:val="hybridMultilevel"/>
    <w:tmpl w:val="19F65C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3A03A48"/>
    <w:multiLevelType w:val="hybridMultilevel"/>
    <w:tmpl w:val="E65010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526049D"/>
    <w:multiLevelType w:val="hybridMultilevel"/>
    <w:tmpl w:val="3CF620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8420AF"/>
    <w:multiLevelType w:val="hybridMultilevel"/>
    <w:tmpl w:val="EAEAA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7368C5"/>
    <w:multiLevelType w:val="multilevel"/>
    <w:tmpl w:val="124E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983157"/>
    <w:multiLevelType w:val="hybridMultilevel"/>
    <w:tmpl w:val="ED021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5E66F7E"/>
    <w:multiLevelType w:val="hybridMultilevel"/>
    <w:tmpl w:val="B5A2C0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8350C4A"/>
    <w:multiLevelType w:val="multilevel"/>
    <w:tmpl w:val="54CC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8"/>
  </w:num>
  <w:num w:numId="4">
    <w:abstractNumId w:val="2"/>
  </w:num>
  <w:num w:numId="5">
    <w:abstractNumId w:val="4"/>
  </w:num>
  <w:num w:numId="6">
    <w:abstractNumId w:val="5"/>
  </w:num>
  <w:num w:numId="7">
    <w:abstractNumId w:val="0"/>
  </w:num>
  <w:num w:numId="8">
    <w:abstractNumId w:val="9"/>
  </w:num>
  <w:num w:numId="9">
    <w:abstractNumId w:val="1"/>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52B"/>
    <w:rsid w:val="00000ABE"/>
    <w:rsid w:val="000139BA"/>
    <w:rsid w:val="00024FC4"/>
    <w:rsid w:val="00035748"/>
    <w:rsid w:val="0003630E"/>
    <w:rsid w:val="000552AB"/>
    <w:rsid w:val="00060A41"/>
    <w:rsid w:val="0008558F"/>
    <w:rsid w:val="00091284"/>
    <w:rsid w:val="000A13D8"/>
    <w:rsid w:val="000D4A9B"/>
    <w:rsid w:val="000F5C80"/>
    <w:rsid w:val="00122F8E"/>
    <w:rsid w:val="00132E47"/>
    <w:rsid w:val="001348A2"/>
    <w:rsid w:val="00172D84"/>
    <w:rsid w:val="00174583"/>
    <w:rsid w:val="001A2973"/>
    <w:rsid w:val="001A726A"/>
    <w:rsid w:val="001B2182"/>
    <w:rsid w:val="001B3E4D"/>
    <w:rsid w:val="001B40BD"/>
    <w:rsid w:val="001B7B9E"/>
    <w:rsid w:val="001C2C45"/>
    <w:rsid w:val="001D6849"/>
    <w:rsid w:val="001D78D4"/>
    <w:rsid w:val="001F076A"/>
    <w:rsid w:val="001F3CE8"/>
    <w:rsid w:val="0020531A"/>
    <w:rsid w:val="00212FBC"/>
    <w:rsid w:val="00221CA3"/>
    <w:rsid w:val="00231C9F"/>
    <w:rsid w:val="0025752B"/>
    <w:rsid w:val="0026142A"/>
    <w:rsid w:val="00267622"/>
    <w:rsid w:val="00280E32"/>
    <w:rsid w:val="00283843"/>
    <w:rsid w:val="002D3DEB"/>
    <w:rsid w:val="002D48A9"/>
    <w:rsid w:val="00317606"/>
    <w:rsid w:val="00345277"/>
    <w:rsid w:val="003510E0"/>
    <w:rsid w:val="00360394"/>
    <w:rsid w:val="00375979"/>
    <w:rsid w:val="003934BB"/>
    <w:rsid w:val="00393D93"/>
    <w:rsid w:val="003A3987"/>
    <w:rsid w:val="003C3C6D"/>
    <w:rsid w:val="003C58C5"/>
    <w:rsid w:val="003F4A9C"/>
    <w:rsid w:val="0040686C"/>
    <w:rsid w:val="004069BF"/>
    <w:rsid w:val="00411E1D"/>
    <w:rsid w:val="00424DA4"/>
    <w:rsid w:val="00435795"/>
    <w:rsid w:val="0047226B"/>
    <w:rsid w:val="00484B63"/>
    <w:rsid w:val="004B6C7F"/>
    <w:rsid w:val="004C2ED3"/>
    <w:rsid w:val="004D50AF"/>
    <w:rsid w:val="004D516C"/>
    <w:rsid w:val="004D6884"/>
    <w:rsid w:val="004D68D0"/>
    <w:rsid w:val="004F048D"/>
    <w:rsid w:val="004F04CB"/>
    <w:rsid w:val="0050492F"/>
    <w:rsid w:val="005050A0"/>
    <w:rsid w:val="005300FE"/>
    <w:rsid w:val="00552020"/>
    <w:rsid w:val="00555ADB"/>
    <w:rsid w:val="00561D51"/>
    <w:rsid w:val="00570DDC"/>
    <w:rsid w:val="00583BD6"/>
    <w:rsid w:val="00584D1A"/>
    <w:rsid w:val="00596567"/>
    <w:rsid w:val="005A308E"/>
    <w:rsid w:val="005B3471"/>
    <w:rsid w:val="005D699C"/>
    <w:rsid w:val="005E583F"/>
    <w:rsid w:val="0062240E"/>
    <w:rsid w:val="00632B3A"/>
    <w:rsid w:val="00645A9E"/>
    <w:rsid w:val="00655659"/>
    <w:rsid w:val="006576B6"/>
    <w:rsid w:val="00685C61"/>
    <w:rsid w:val="00692B91"/>
    <w:rsid w:val="006A0899"/>
    <w:rsid w:val="006B1196"/>
    <w:rsid w:val="006B4C3A"/>
    <w:rsid w:val="006B6BFB"/>
    <w:rsid w:val="006C34FF"/>
    <w:rsid w:val="006E13FD"/>
    <w:rsid w:val="00736FDC"/>
    <w:rsid w:val="007617CE"/>
    <w:rsid w:val="007801E0"/>
    <w:rsid w:val="0078118F"/>
    <w:rsid w:val="007835B0"/>
    <w:rsid w:val="0079009F"/>
    <w:rsid w:val="007947BF"/>
    <w:rsid w:val="007A7662"/>
    <w:rsid w:val="007C0A9A"/>
    <w:rsid w:val="007E7C1A"/>
    <w:rsid w:val="007F251F"/>
    <w:rsid w:val="00802649"/>
    <w:rsid w:val="008149B9"/>
    <w:rsid w:val="00830B47"/>
    <w:rsid w:val="00844844"/>
    <w:rsid w:val="008523EE"/>
    <w:rsid w:val="00865554"/>
    <w:rsid w:val="0087367E"/>
    <w:rsid w:val="0087594F"/>
    <w:rsid w:val="00880D02"/>
    <w:rsid w:val="008A1C1D"/>
    <w:rsid w:val="008A3EA3"/>
    <w:rsid w:val="008A5677"/>
    <w:rsid w:val="008B00FF"/>
    <w:rsid w:val="008C14ED"/>
    <w:rsid w:val="008E00BC"/>
    <w:rsid w:val="008E272C"/>
    <w:rsid w:val="008E549C"/>
    <w:rsid w:val="008F735E"/>
    <w:rsid w:val="009152CD"/>
    <w:rsid w:val="0092632F"/>
    <w:rsid w:val="009456EE"/>
    <w:rsid w:val="00950ABB"/>
    <w:rsid w:val="00960624"/>
    <w:rsid w:val="0096450B"/>
    <w:rsid w:val="00974D55"/>
    <w:rsid w:val="00976B91"/>
    <w:rsid w:val="00993B8E"/>
    <w:rsid w:val="00996D5D"/>
    <w:rsid w:val="009A0B04"/>
    <w:rsid w:val="009B3D13"/>
    <w:rsid w:val="009C2D6C"/>
    <w:rsid w:val="009C6B51"/>
    <w:rsid w:val="009D6824"/>
    <w:rsid w:val="00A00820"/>
    <w:rsid w:val="00A1644A"/>
    <w:rsid w:val="00A22C8D"/>
    <w:rsid w:val="00A40C9E"/>
    <w:rsid w:val="00A44493"/>
    <w:rsid w:val="00A4509C"/>
    <w:rsid w:val="00A90E87"/>
    <w:rsid w:val="00AA778A"/>
    <w:rsid w:val="00AB2E97"/>
    <w:rsid w:val="00AB412B"/>
    <w:rsid w:val="00AB63C8"/>
    <w:rsid w:val="00AC1F50"/>
    <w:rsid w:val="00AC6393"/>
    <w:rsid w:val="00AF54CF"/>
    <w:rsid w:val="00B17429"/>
    <w:rsid w:val="00B24D13"/>
    <w:rsid w:val="00B255DD"/>
    <w:rsid w:val="00B45A74"/>
    <w:rsid w:val="00B46592"/>
    <w:rsid w:val="00B62303"/>
    <w:rsid w:val="00BA11E8"/>
    <w:rsid w:val="00BB1C0C"/>
    <w:rsid w:val="00BE67FC"/>
    <w:rsid w:val="00C11825"/>
    <w:rsid w:val="00C16C9B"/>
    <w:rsid w:val="00C21B75"/>
    <w:rsid w:val="00C21CB4"/>
    <w:rsid w:val="00C227A0"/>
    <w:rsid w:val="00C248B6"/>
    <w:rsid w:val="00C416EF"/>
    <w:rsid w:val="00C53268"/>
    <w:rsid w:val="00C65AA9"/>
    <w:rsid w:val="00C67DA8"/>
    <w:rsid w:val="00C7341B"/>
    <w:rsid w:val="00C80BC6"/>
    <w:rsid w:val="00C94B4C"/>
    <w:rsid w:val="00C97047"/>
    <w:rsid w:val="00CB2BD1"/>
    <w:rsid w:val="00CD1186"/>
    <w:rsid w:val="00CD499D"/>
    <w:rsid w:val="00CD5632"/>
    <w:rsid w:val="00D422FB"/>
    <w:rsid w:val="00D44C69"/>
    <w:rsid w:val="00D61F23"/>
    <w:rsid w:val="00D728EE"/>
    <w:rsid w:val="00D72D60"/>
    <w:rsid w:val="00D94C2F"/>
    <w:rsid w:val="00D97403"/>
    <w:rsid w:val="00DA2476"/>
    <w:rsid w:val="00DB4846"/>
    <w:rsid w:val="00DB5AEE"/>
    <w:rsid w:val="00DC4BC1"/>
    <w:rsid w:val="00DD53A4"/>
    <w:rsid w:val="00DF0D30"/>
    <w:rsid w:val="00E0619A"/>
    <w:rsid w:val="00E13FF6"/>
    <w:rsid w:val="00E67FA9"/>
    <w:rsid w:val="00E70677"/>
    <w:rsid w:val="00E769D9"/>
    <w:rsid w:val="00E95EEF"/>
    <w:rsid w:val="00E9669C"/>
    <w:rsid w:val="00EB42B3"/>
    <w:rsid w:val="00EB5099"/>
    <w:rsid w:val="00EF74C5"/>
    <w:rsid w:val="00F32FC6"/>
    <w:rsid w:val="00F512B4"/>
    <w:rsid w:val="00F650F8"/>
    <w:rsid w:val="00F80F92"/>
    <w:rsid w:val="00F830DD"/>
    <w:rsid w:val="00F97015"/>
    <w:rsid w:val="00FA07A1"/>
    <w:rsid w:val="00FC0307"/>
    <w:rsid w:val="00FC2BDB"/>
    <w:rsid w:val="00FD1300"/>
    <w:rsid w:val="00FD7B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E0F51B"/>
  <w15:chartTrackingRefBased/>
  <w15:docId w15:val="{E7BFBC04-5D04-423E-A41A-69A001C7A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68D0"/>
    <w:pPr>
      <w:ind w:left="720"/>
      <w:contextualSpacing/>
    </w:pPr>
  </w:style>
  <w:style w:type="paragraph" w:styleId="En-tte">
    <w:name w:val="header"/>
    <w:basedOn w:val="Normal"/>
    <w:link w:val="En-tteCar"/>
    <w:uiPriority w:val="99"/>
    <w:unhideWhenUsed/>
    <w:rsid w:val="00555ADB"/>
    <w:pPr>
      <w:tabs>
        <w:tab w:val="center" w:pos="4536"/>
        <w:tab w:val="right" w:pos="9072"/>
      </w:tabs>
      <w:spacing w:after="0" w:line="240" w:lineRule="auto"/>
    </w:pPr>
  </w:style>
  <w:style w:type="character" w:customStyle="1" w:styleId="En-tteCar">
    <w:name w:val="En-tête Car"/>
    <w:basedOn w:val="Policepardfaut"/>
    <w:link w:val="En-tte"/>
    <w:uiPriority w:val="99"/>
    <w:rsid w:val="00555ADB"/>
  </w:style>
  <w:style w:type="paragraph" w:styleId="Pieddepage">
    <w:name w:val="footer"/>
    <w:basedOn w:val="Normal"/>
    <w:link w:val="PieddepageCar"/>
    <w:uiPriority w:val="99"/>
    <w:unhideWhenUsed/>
    <w:rsid w:val="00555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ADB"/>
  </w:style>
  <w:style w:type="table" w:styleId="Grilledutableau">
    <w:name w:val="Table Grid"/>
    <w:basedOn w:val="TableauNormal"/>
    <w:uiPriority w:val="39"/>
    <w:rsid w:val="004B6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31C9F"/>
    <w:rPr>
      <w:color w:val="0563C1" w:themeColor="hyperlink"/>
      <w:u w:val="single"/>
    </w:rPr>
  </w:style>
  <w:style w:type="character" w:customStyle="1" w:styleId="UnresolvedMention">
    <w:name w:val="Unresolved Mention"/>
    <w:basedOn w:val="Policepardfaut"/>
    <w:uiPriority w:val="99"/>
    <w:semiHidden/>
    <w:unhideWhenUsed/>
    <w:rsid w:val="00231C9F"/>
    <w:rPr>
      <w:color w:val="605E5C"/>
      <w:shd w:val="clear" w:color="auto" w:fill="E1DFDD"/>
    </w:rPr>
  </w:style>
  <w:style w:type="paragraph" w:styleId="Textedebulles">
    <w:name w:val="Balloon Text"/>
    <w:basedOn w:val="Normal"/>
    <w:link w:val="TextedebullesCar"/>
    <w:uiPriority w:val="99"/>
    <w:semiHidden/>
    <w:unhideWhenUsed/>
    <w:rsid w:val="006A0899"/>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A0899"/>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F80F92"/>
    <w:rPr>
      <w:color w:val="954F72" w:themeColor="followedHyperlink"/>
      <w:u w:val="single"/>
    </w:rPr>
  </w:style>
  <w:style w:type="paragraph" w:styleId="Lgende">
    <w:name w:val="caption"/>
    <w:basedOn w:val="Normal"/>
    <w:next w:val="Normal"/>
    <w:uiPriority w:val="35"/>
    <w:unhideWhenUsed/>
    <w:qFormat/>
    <w:rsid w:val="00C16C9B"/>
    <w:pPr>
      <w:spacing w:after="200" w:line="240" w:lineRule="auto"/>
    </w:pPr>
    <w:rPr>
      <w:i/>
      <w:iCs/>
      <w:color w:val="44546A" w:themeColor="text2"/>
      <w:sz w:val="18"/>
      <w:szCs w:val="18"/>
    </w:rPr>
  </w:style>
  <w:style w:type="paragraph" w:styleId="NormalWeb">
    <w:name w:val="Normal (Web)"/>
    <w:basedOn w:val="Normal"/>
    <w:uiPriority w:val="99"/>
    <w:semiHidden/>
    <w:unhideWhenUsed/>
    <w:rsid w:val="009A0B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9584">
      <w:bodyDiv w:val="1"/>
      <w:marLeft w:val="0"/>
      <w:marRight w:val="0"/>
      <w:marTop w:val="0"/>
      <w:marBottom w:val="0"/>
      <w:divBdr>
        <w:top w:val="none" w:sz="0" w:space="0" w:color="auto"/>
        <w:left w:val="none" w:sz="0" w:space="0" w:color="auto"/>
        <w:bottom w:val="none" w:sz="0" w:space="0" w:color="auto"/>
        <w:right w:val="none" w:sz="0" w:space="0" w:color="auto"/>
      </w:divBdr>
    </w:div>
    <w:div w:id="216819204">
      <w:bodyDiv w:val="1"/>
      <w:marLeft w:val="0"/>
      <w:marRight w:val="0"/>
      <w:marTop w:val="0"/>
      <w:marBottom w:val="0"/>
      <w:divBdr>
        <w:top w:val="none" w:sz="0" w:space="0" w:color="auto"/>
        <w:left w:val="none" w:sz="0" w:space="0" w:color="auto"/>
        <w:bottom w:val="none" w:sz="0" w:space="0" w:color="auto"/>
        <w:right w:val="none" w:sz="0" w:space="0" w:color="auto"/>
      </w:divBdr>
      <w:divsChild>
        <w:div w:id="797644937">
          <w:marLeft w:val="0"/>
          <w:marRight w:val="0"/>
          <w:marTop w:val="0"/>
          <w:marBottom w:val="0"/>
          <w:divBdr>
            <w:top w:val="none" w:sz="0" w:space="0" w:color="auto"/>
            <w:left w:val="none" w:sz="0" w:space="0" w:color="auto"/>
            <w:bottom w:val="none" w:sz="0" w:space="0" w:color="auto"/>
            <w:right w:val="none" w:sz="0" w:space="0" w:color="auto"/>
          </w:divBdr>
          <w:divsChild>
            <w:div w:id="148909551">
              <w:marLeft w:val="0"/>
              <w:marRight w:val="0"/>
              <w:marTop w:val="0"/>
              <w:marBottom w:val="0"/>
              <w:divBdr>
                <w:top w:val="none" w:sz="0" w:space="0" w:color="auto"/>
                <w:left w:val="none" w:sz="0" w:space="0" w:color="auto"/>
                <w:bottom w:val="none" w:sz="0" w:space="0" w:color="auto"/>
                <w:right w:val="none" w:sz="0" w:space="0" w:color="auto"/>
              </w:divBdr>
            </w:div>
            <w:div w:id="1062749723">
              <w:marLeft w:val="0"/>
              <w:marRight w:val="0"/>
              <w:marTop w:val="0"/>
              <w:marBottom w:val="0"/>
              <w:divBdr>
                <w:top w:val="none" w:sz="0" w:space="0" w:color="auto"/>
                <w:left w:val="none" w:sz="0" w:space="0" w:color="auto"/>
                <w:bottom w:val="none" w:sz="0" w:space="0" w:color="auto"/>
                <w:right w:val="none" w:sz="0" w:space="0" w:color="auto"/>
              </w:divBdr>
            </w:div>
          </w:divsChild>
        </w:div>
        <w:div w:id="914322070">
          <w:marLeft w:val="0"/>
          <w:marRight w:val="0"/>
          <w:marTop w:val="0"/>
          <w:marBottom w:val="0"/>
          <w:divBdr>
            <w:top w:val="none" w:sz="0" w:space="0" w:color="auto"/>
            <w:left w:val="none" w:sz="0" w:space="0" w:color="auto"/>
            <w:bottom w:val="none" w:sz="0" w:space="0" w:color="auto"/>
            <w:right w:val="none" w:sz="0" w:space="0" w:color="auto"/>
          </w:divBdr>
          <w:divsChild>
            <w:div w:id="1304236007">
              <w:marLeft w:val="0"/>
              <w:marRight w:val="0"/>
              <w:marTop w:val="0"/>
              <w:marBottom w:val="0"/>
              <w:divBdr>
                <w:top w:val="single" w:sz="6" w:space="0" w:color="E6E6E6"/>
                <w:left w:val="single" w:sz="6" w:space="0" w:color="E6E6E6"/>
                <w:bottom w:val="single" w:sz="6" w:space="0" w:color="E6E6E6"/>
                <w:right w:val="single" w:sz="6" w:space="0" w:color="E6E6E6"/>
              </w:divBdr>
            </w:div>
            <w:div w:id="2049062904">
              <w:marLeft w:val="0"/>
              <w:marRight w:val="0"/>
              <w:marTop w:val="0"/>
              <w:marBottom w:val="0"/>
              <w:divBdr>
                <w:top w:val="none" w:sz="0" w:space="0" w:color="auto"/>
                <w:left w:val="none" w:sz="0" w:space="0" w:color="auto"/>
                <w:bottom w:val="none" w:sz="0" w:space="0" w:color="auto"/>
                <w:right w:val="none" w:sz="0" w:space="0" w:color="auto"/>
              </w:divBdr>
              <w:divsChild>
                <w:div w:id="931015279">
                  <w:marLeft w:val="0"/>
                  <w:marRight w:val="0"/>
                  <w:marTop w:val="0"/>
                  <w:marBottom w:val="0"/>
                  <w:divBdr>
                    <w:top w:val="single" w:sz="2" w:space="0" w:color="E6E6E6"/>
                    <w:left w:val="single" w:sz="6" w:space="0" w:color="E6E6E6"/>
                    <w:bottom w:val="single" w:sz="6" w:space="0" w:color="E6E6E6"/>
                    <w:right w:val="single" w:sz="6" w:space="0" w:color="E6E6E6"/>
                  </w:divBdr>
                  <w:divsChild>
                    <w:div w:id="728695302">
                      <w:marLeft w:val="0"/>
                      <w:marRight w:val="0"/>
                      <w:marTop w:val="0"/>
                      <w:marBottom w:val="0"/>
                      <w:divBdr>
                        <w:top w:val="none" w:sz="0" w:space="0" w:color="auto"/>
                        <w:left w:val="none" w:sz="0" w:space="0" w:color="auto"/>
                        <w:bottom w:val="none" w:sz="0" w:space="0" w:color="auto"/>
                        <w:right w:val="none" w:sz="0" w:space="0" w:color="auto"/>
                      </w:divBdr>
                      <w:divsChild>
                        <w:div w:id="572129371">
                          <w:marLeft w:val="0"/>
                          <w:marRight w:val="0"/>
                          <w:marTop w:val="0"/>
                          <w:marBottom w:val="0"/>
                          <w:divBdr>
                            <w:top w:val="none" w:sz="0" w:space="0" w:color="auto"/>
                            <w:left w:val="none" w:sz="0" w:space="0" w:color="auto"/>
                            <w:bottom w:val="none" w:sz="0" w:space="0" w:color="auto"/>
                            <w:right w:val="none" w:sz="0" w:space="0" w:color="auto"/>
                          </w:divBdr>
                          <w:divsChild>
                            <w:div w:id="1778787218">
                              <w:marLeft w:val="0"/>
                              <w:marRight w:val="0"/>
                              <w:marTop w:val="0"/>
                              <w:marBottom w:val="0"/>
                              <w:divBdr>
                                <w:top w:val="none" w:sz="0" w:space="0" w:color="auto"/>
                                <w:left w:val="none" w:sz="0" w:space="0" w:color="auto"/>
                                <w:bottom w:val="none" w:sz="0" w:space="0" w:color="auto"/>
                                <w:right w:val="none" w:sz="0" w:space="0" w:color="auto"/>
                              </w:divBdr>
                            </w:div>
                          </w:divsChild>
                        </w:div>
                        <w:div w:id="950285615">
                          <w:marLeft w:val="0"/>
                          <w:marRight w:val="0"/>
                          <w:marTop w:val="0"/>
                          <w:marBottom w:val="0"/>
                          <w:divBdr>
                            <w:top w:val="none" w:sz="0" w:space="0" w:color="auto"/>
                            <w:left w:val="none" w:sz="0" w:space="0" w:color="auto"/>
                            <w:bottom w:val="none" w:sz="0" w:space="0" w:color="auto"/>
                            <w:right w:val="none" w:sz="0" w:space="0" w:color="auto"/>
                          </w:divBdr>
                          <w:divsChild>
                            <w:div w:id="1888374691">
                              <w:marLeft w:val="0"/>
                              <w:marRight w:val="0"/>
                              <w:marTop w:val="0"/>
                              <w:marBottom w:val="0"/>
                              <w:divBdr>
                                <w:top w:val="none" w:sz="0" w:space="0" w:color="auto"/>
                                <w:left w:val="none" w:sz="0" w:space="0" w:color="auto"/>
                                <w:bottom w:val="none" w:sz="0" w:space="0" w:color="auto"/>
                                <w:right w:val="none" w:sz="0" w:space="0" w:color="auto"/>
                              </w:divBdr>
                            </w:div>
                          </w:divsChild>
                        </w:div>
                        <w:div w:id="1194921252">
                          <w:marLeft w:val="0"/>
                          <w:marRight w:val="0"/>
                          <w:marTop w:val="0"/>
                          <w:marBottom w:val="0"/>
                          <w:divBdr>
                            <w:top w:val="none" w:sz="0" w:space="0" w:color="auto"/>
                            <w:left w:val="none" w:sz="0" w:space="0" w:color="auto"/>
                            <w:bottom w:val="none" w:sz="0" w:space="0" w:color="auto"/>
                            <w:right w:val="none" w:sz="0" w:space="0" w:color="auto"/>
                          </w:divBdr>
                          <w:divsChild>
                            <w:div w:id="15287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417618">
      <w:bodyDiv w:val="1"/>
      <w:marLeft w:val="0"/>
      <w:marRight w:val="0"/>
      <w:marTop w:val="0"/>
      <w:marBottom w:val="0"/>
      <w:divBdr>
        <w:top w:val="none" w:sz="0" w:space="0" w:color="auto"/>
        <w:left w:val="none" w:sz="0" w:space="0" w:color="auto"/>
        <w:bottom w:val="none" w:sz="0" w:space="0" w:color="auto"/>
        <w:right w:val="none" w:sz="0" w:space="0" w:color="auto"/>
      </w:divBdr>
      <w:divsChild>
        <w:div w:id="485174556">
          <w:marLeft w:val="0"/>
          <w:marRight w:val="0"/>
          <w:marTop w:val="0"/>
          <w:marBottom w:val="0"/>
          <w:divBdr>
            <w:top w:val="none" w:sz="0" w:space="0" w:color="auto"/>
            <w:left w:val="none" w:sz="0" w:space="0" w:color="auto"/>
            <w:bottom w:val="none" w:sz="0" w:space="0" w:color="auto"/>
            <w:right w:val="none" w:sz="0" w:space="0" w:color="auto"/>
          </w:divBdr>
        </w:div>
      </w:divsChild>
    </w:div>
    <w:div w:id="840898594">
      <w:bodyDiv w:val="1"/>
      <w:marLeft w:val="0"/>
      <w:marRight w:val="0"/>
      <w:marTop w:val="0"/>
      <w:marBottom w:val="0"/>
      <w:divBdr>
        <w:top w:val="none" w:sz="0" w:space="0" w:color="auto"/>
        <w:left w:val="none" w:sz="0" w:space="0" w:color="auto"/>
        <w:bottom w:val="none" w:sz="0" w:space="0" w:color="auto"/>
        <w:right w:val="none" w:sz="0" w:space="0" w:color="auto"/>
      </w:divBdr>
    </w:div>
    <w:div w:id="1201943535">
      <w:bodyDiv w:val="1"/>
      <w:marLeft w:val="0"/>
      <w:marRight w:val="0"/>
      <w:marTop w:val="0"/>
      <w:marBottom w:val="0"/>
      <w:divBdr>
        <w:top w:val="none" w:sz="0" w:space="0" w:color="auto"/>
        <w:left w:val="none" w:sz="0" w:space="0" w:color="auto"/>
        <w:bottom w:val="none" w:sz="0" w:space="0" w:color="auto"/>
        <w:right w:val="none" w:sz="0" w:space="0" w:color="auto"/>
      </w:divBdr>
    </w:div>
    <w:div w:id="1397631526">
      <w:bodyDiv w:val="1"/>
      <w:marLeft w:val="0"/>
      <w:marRight w:val="0"/>
      <w:marTop w:val="0"/>
      <w:marBottom w:val="0"/>
      <w:divBdr>
        <w:top w:val="none" w:sz="0" w:space="0" w:color="auto"/>
        <w:left w:val="none" w:sz="0" w:space="0" w:color="auto"/>
        <w:bottom w:val="none" w:sz="0" w:space="0" w:color="auto"/>
        <w:right w:val="none" w:sz="0" w:space="0" w:color="auto"/>
      </w:divBdr>
      <w:divsChild>
        <w:div w:id="3531214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816633">
      <w:bodyDiv w:val="1"/>
      <w:marLeft w:val="0"/>
      <w:marRight w:val="0"/>
      <w:marTop w:val="0"/>
      <w:marBottom w:val="0"/>
      <w:divBdr>
        <w:top w:val="none" w:sz="0" w:space="0" w:color="auto"/>
        <w:left w:val="none" w:sz="0" w:space="0" w:color="auto"/>
        <w:bottom w:val="none" w:sz="0" w:space="0" w:color="auto"/>
        <w:right w:val="none" w:sz="0" w:space="0" w:color="auto"/>
      </w:divBdr>
    </w:div>
    <w:div w:id="1464469173">
      <w:bodyDiv w:val="1"/>
      <w:marLeft w:val="0"/>
      <w:marRight w:val="0"/>
      <w:marTop w:val="0"/>
      <w:marBottom w:val="0"/>
      <w:divBdr>
        <w:top w:val="none" w:sz="0" w:space="0" w:color="auto"/>
        <w:left w:val="none" w:sz="0" w:space="0" w:color="auto"/>
        <w:bottom w:val="none" w:sz="0" w:space="0" w:color="auto"/>
        <w:right w:val="none" w:sz="0" w:space="0" w:color="auto"/>
      </w:divBdr>
      <w:divsChild>
        <w:div w:id="1978799992">
          <w:marLeft w:val="0"/>
          <w:marRight w:val="0"/>
          <w:marTop w:val="0"/>
          <w:marBottom w:val="0"/>
          <w:divBdr>
            <w:top w:val="none" w:sz="0" w:space="0" w:color="auto"/>
            <w:left w:val="none" w:sz="0" w:space="0" w:color="auto"/>
            <w:bottom w:val="none" w:sz="0" w:space="0" w:color="auto"/>
            <w:right w:val="none" w:sz="0" w:space="0" w:color="auto"/>
          </w:divBdr>
          <w:divsChild>
            <w:div w:id="877354601">
              <w:marLeft w:val="0"/>
              <w:marRight w:val="0"/>
              <w:marTop w:val="0"/>
              <w:marBottom w:val="0"/>
              <w:divBdr>
                <w:top w:val="none" w:sz="0" w:space="0" w:color="auto"/>
                <w:left w:val="none" w:sz="0" w:space="0" w:color="auto"/>
                <w:bottom w:val="none" w:sz="0" w:space="0" w:color="auto"/>
                <w:right w:val="none" w:sz="0" w:space="0" w:color="auto"/>
              </w:divBdr>
              <w:divsChild>
                <w:div w:id="9202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9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nt-vosges.fr/wp-content/uploads/2025/03/Article-238-bis-Code-general-des-impots-Legifrance.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svg"/><Relationship Id="rId17" Type="http://schemas.openxmlformats.org/officeDocument/2006/relationships/hyperlink" Target="https://snt-vosges.fr/wp-content/uploads/2025/03/Focus_interet_general.pdf" TargetMode="External"/><Relationship Id="rId2" Type="http://schemas.openxmlformats.org/officeDocument/2006/relationships/customXml" Target="../customXml/item2.xml"/><Relationship Id="rId16" Type="http://schemas.openxmlformats.org/officeDocument/2006/relationships/hyperlink" Target="https://snt-vosges.fr/wp-content/uploads/2025/03/mecenat-mise-a-disposition-dune-association.pdf" TargetMode="External"/><Relationship Id="rId20" Type="http://schemas.openxmlformats.org/officeDocument/2006/relationships/hyperlink" Target="https://snt-vosges.fr/wp-content/uploads/2025/03/Focus_interet_gener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nt-vosges.fr/wp-content/uploads/2025/03/Article-238-bis-Code-general-des-impots-Legifrance.pdf" TargetMode="External"/><Relationship Id="rId10" Type="http://schemas.openxmlformats.org/officeDocument/2006/relationships/endnotes" Target="endnotes.xml"/><Relationship Id="rId19" Type="http://schemas.openxmlformats.org/officeDocument/2006/relationships/hyperlink" Target="https://snt-vosges.fr/wp-content/uploads/2025/03/mecenat-mise-a-disposition-dune-associatio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20http:/www.snt-cgc.fr%20%20" TargetMode="External"/><Relationship Id="rId2" Type="http://schemas.openxmlformats.org/officeDocument/2006/relationships/hyperlink" Target="mailto:courrier.snt@gmail.com" TargetMode="External"/><Relationship Id="rId1" Type="http://schemas.openxmlformats.org/officeDocument/2006/relationships/image" Target="media/image3.png"/><Relationship Id="rId6" Type="http://schemas.openxmlformats.org/officeDocument/2006/relationships/hyperlink" Target="https://forms.office.com/e/87PKKFmjWk" TargetMode="External"/><Relationship Id="rId5" Type="http://schemas.openxmlformats.org/officeDocument/2006/relationships/hyperlink" Target="%20http:/www.snt-cgc.fr%20%20" TargetMode="External"/><Relationship Id="rId4" Type="http://schemas.openxmlformats.org/officeDocument/2006/relationships/hyperlink" Target="mailto:courrier.snt@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24ddee7-5c01-4701-9d7d-165b43774a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59D05CE99D5D4FB119FECA75CB5CEC" ma:contentTypeVersion="18" ma:contentTypeDescription="Crée un document." ma:contentTypeScope="" ma:versionID="1ebf5d0328fc0bfc268ad99fb1360568">
  <xsd:schema xmlns:xsd="http://www.w3.org/2001/XMLSchema" xmlns:xs="http://www.w3.org/2001/XMLSchema" xmlns:p="http://schemas.microsoft.com/office/2006/metadata/properties" xmlns:ns3="f24ddee7-5c01-4701-9d7d-165b43774a62" xmlns:ns4="d728812b-917f-456e-aed7-da95d672b88e" targetNamespace="http://schemas.microsoft.com/office/2006/metadata/properties" ma:root="true" ma:fieldsID="2fb36689b2e76a272802c0adfb75eec0" ns3:_="" ns4:_="">
    <xsd:import namespace="f24ddee7-5c01-4701-9d7d-165b43774a62"/>
    <xsd:import namespace="d728812b-917f-456e-aed7-da95d672b8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ddee7-5c01-4701-9d7d-165b43774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28812b-917f-456e-aed7-da95d672b88e"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SharingHintHash" ma:index="19"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12BD6-5790-4E6F-AB66-C50BD12DE645}">
  <ds:schemaRefs>
    <ds:schemaRef ds:uri="http://schemas.microsoft.com/sharepoint/v3/contenttype/forms"/>
  </ds:schemaRefs>
</ds:datastoreItem>
</file>

<file path=customXml/itemProps2.xml><?xml version="1.0" encoding="utf-8"?>
<ds:datastoreItem xmlns:ds="http://schemas.openxmlformats.org/officeDocument/2006/customXml" ds:itemID="{1E510A42-71DD-442A-8A62-070DBBB0D1DC}">
  <ds:schemaRefs>
    <ds:schemaRef ds:uri="http://purl.org/dc/terms/"/>
    <ds:schemaRef ds:uri="d728812b-917f-456e-aed7-da95d672b88e"/>
    <ds:schemaRef ds:uri="http://schemas.microsoft.com/office/2006/documentManagement/types"/>
    <ds:schemaRef ds:uri="http://schemas.microsoft.com/office/2006/metadata/properties"/>
    <ds:schemaRef ds:uri="f24ddee7-5c01-4701-9d7d-165b43774a62"/>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7E80C91-28DF-4212-A188-BE5001B4C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ddee7-5c01-4701-9d7d-165b43774a62"/>
    <ds:schemaRef ds:uri="d728812b-917f-456e-aed7-da95d672b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C49E9-DCE5-41F1-9AEE-EEF76BD17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Words>
  <Characters>83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Conseil départemental des Vosges</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Syndicat CGC</dc:creator>
  <cp:keywords/>
  <dc:description/>
  <cp:lastModifiedBy>Syndicat CGC</cp:lastModifiedBy>
  <cp:revision>2</cp:revision>
  <cp:lastPrinted>2025-01-27T08:37:00Z</cp:lastPrinted>
  <dcterms:created xsi:type="dcterms:W3CDTF">2025-03-17T14:53:00Z</dcterms:created>
  <dcterms:modified xsi:type="dcterms:W3CDTF">2025-03-17T14:53:00Z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0x010100AC59D05CE99D5D4FB119FECA75CB5CEC</vt:lpwstr>
  </property>
</Properties>
</file>